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4A0" w:firstRow="1" w:lastRow="0" w:firstColumn="1" w:lastColumn="0" w:noHBand="0" w:noVBand="1"/>
      </w:tblPr>
      <w:tblGrid>
        <w:gridCol w:w="9642"/>
      </w:tblGrid>
      <w:tr w:rsidR="00A35323" w:rsidRPr="00A35323" w14:paraId="1528CE41" w14:textId="77777777" w:rsidTr="004230CC">
        <w:tc>
          <w:tcPr>
            <w:tcW w:w="9781" w:type="dxa"/>
          </w:tcPr>
          <w:p w14:paraId="7D3E3F29" w14:textId="77777777" w:rsidR="00A35323" w:rsidRPr="00072D4C" w:rsidRDefault="00A35323" w:rsidP="00141C49">
            <w:pPr>
              <w:rPr>
                <w:rFonts w:ascii="Palatino Linotype" w:eastAsia="Cambria" w:hAnsi="Cambria" w:cs="Cambria"/>
                <w:b/>
                <w:bCs/>
                <w:i/>
                <w:sz w:val="20"/>
              </w:rPr>
            </w:pPr>
            <w:bookmarkStart w:id="0" w:name="_Hlk172407855"/>
            <w:bookmarkStart w:id="1" w:name="_Hlk172411286"/>
            <w:r w:rsidRPr="00072D4C">
              <w:rPr>
                <w:rFonts w:ascii="Palatino Linotype" w:eastAsia="Cambria" w:hAnsi="Cambria" w:cs="Cambria"/>
                <w:b/>
                <w:bCs/>
                <w:i/>
                <w:sz w:val="20"/>
              </w:rPr>
              <w:t>Article</w:t>
            </w:r>
            <w:r w:rsidRPr="00072D4C">
              <w:rPr>
                <w:rFonts w:ascii="Cambria" w:eastAsia="Cambria" w:hAnsi="Cambria" w:cs="Cambria"/>
                <w:b/>
                <w:bCs/>
              </w:rPr>
              <w:tab/>
            </w:r>
          </w:p>
          <w:p w14:paraId="11F42F48" w14:textId="1CB605D4" w:rsidR="00A35323" w:rsidRPr="00A35323" w:rsidRDefault="00A61BEB" w:rsidP="007213CC">
            <w:pPr>
              <w:jc w:val="both"/>
              <w:outlineLvl w:val="1"/>
              <w:rPr>
                <w:rFonts w:ascii="Palatino Linotype" w:eastAsia="Palatino Linotype" w:hAnsi="Palatino Linotype" w:cs="Palatino Linotype"/>
                <w:b/>
                <w:bCs/>
                <w:sz w:val="20"/>
                <w:szCs w:val="20"/>
              </w:rPr>
            </w:pPr>
            <w:r w:rsidRPr="00A61BEB">
              <w:rPr>
                <w:rFonts w:ascii="Palatino Linotype" w:eastAsia="Palatino Linotype" w:hAnsi="Palatino Linotype" w:cs="Palatino Linotype"/>
                <w:b/>
                <w:bCs/>
                <w:sz w:val="40"/>
                <w:szCs w:val="40"/>
              </w:rPr>
              <w:t>A Study on Consequences of Geopolitical Disturbances as an Impact on Indian International Trade</w:t>
            </w:r>
            <w:r w:rsidR="00737820">
              <w:rPr>
                <w:rFonts w:ascii="Palatino Linotype" w:eastAsia="Palatino Linotype" w:hAnsi="Palatino Linotype" w:cs="Palatino Linotype"/>
                <w:b/>
                <w:bCs/>
                <w:sz w:val="40"/>
                <w:szCs w:val="40"/>
              </w:rPr>
              <w:t xml:space="preserve"> </w:t>
            </w:r>
          </w:p>
          <w:tbl>
            <w:tblPr>
              <w:tblStyle w:val="ListTable7Colorful-Accent2"/>
              <w:tblW w:w="0" w:type="auto"/>
              <w:tblLook w:val="04A0" w:firstRow="1" w:lastRow="0" w:firstColumn="1" w:lastColumn="0" w:noHBand="0" w:noVBand="1"/>
            </w:tblPr>
            <w:tblGrid>
              <w:gridCol w:w="4037"/>
              <w:gridCol w:w="5389"/>
            </w:tblGrid>
            <w:tr w:rsidR="004F1589" w:rsidRPr="004F1589" w14:paraId="5ACDAD3C" w14:textId="77777777" w:rsidTr="0073782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037" w:type="dxa"/>
                </w:tcPr>
                <w:p w14:paraId="484F52C8" w14:textId="6CD74884" w:rsidR="00A927BD" w:rsidRPr="00E6571A" w:rsidRDefault="00A927BD" w:rsidP="00E449A0">
                  <w:pPr>
                    <w:jc w:val="both"/>
                    <w:rPr>
                      <w:rFonts w:ascii="Cambria" w:eastAsia="Cambria" w:hAnsi="Cambria" w:cs="Cambria"/>
                      <w:b/>
                      <w:bCs/>
                      <w:i w:val="0"/>
                      <w:iCs w:val="0"/>
                      <w:color w:val="4A442A" w:themeColor="background2" w:themeShade="40"/>
                      <w:sz w:val="21"/>
                      <w:szCs w:val="28"/>
                    </w:rPr>
                  </w:pPr>
                  <w:r w:rsidRPr="00E6571A">
                    <w:rPr>
                      <w:rFonts w:ascii="Cambria" w:eastAsia="Cambria" w:hAnsi="Cambria" w:cs="Cambria"/>
                      <w:b/>
                      <w:bCs/>
                      <w:i w:val="0"/>
                      <w:iCs w:val="0"/>
                      <w:color w:val="4A442A" w:themeColor="background2" w:themeShade="40"/>
                      <w:sz w:val="21"/>
                      <w:szCs w:val="28"/>
                    </w:rPr>
                    <w:t>Article History:</w:t>
                  </w:r>
                </w:p>
              </w:tc>
              <w:tc>
                <w:tcPr>
                  <w:tcW w:w="5389" w:type="dxa"/>
                  <w:vMerge w:val="restart"/>
                </w:tcPr>
                <w:p w14:paraId="3644DC13" w14:textId="77777777" w:rsidR="00A61BEB" w:rsidRDefault="00A927BD" w:rsidP="00A61BEB">
                  <w:pPr>
                    <w:jc w:val="both"/>
                    <w:cnfStyle w:val="100000000000" w:firstRow="1" w:lastRow="0" w:firstColumn="0" w:lastColumn="0" w:oddVBand="0" w:evenVBand="0" w:oddHBand="0" w:evenHBand="0" w:firstRowFirstColumn="0" w:firstRowLastColumn="0" w:lastRowFirstColumn="0" w:lastRowLastColumn="0"/>
                    <w:rPr>
                      <w:rFonts w:ascii="Cambria" w:hAnsi="Cambria"/>
                      <w:color w:val="4A442A" w:themeColor="background2" w:themeShade="40"/>
                      <w:sz w:val="20"/>
                      <w:szCs w:val="20"/>
                    </w:rPr>
                  </w:pPr>
                  <w:r w:rsidRPr="00397C3A">
                    <w:rPr>
                      <w:rFonts w:ascii="Cambria" w:eastAsia="Cambria" w:hAnsi="Cambria" w:cs="Cambria"/>
                      <w:b/>
                      <w:bCs/>
                      <w:i w:val="0"/>
                      <w:iCs w:val="0"/>
                      <w:color w:val="4A442A" w:themeColor="background2" w:themeShade="40"/>
                      <w:sz w:val="20"/>
                      <w:szCs w:val="20"/>
                    </w:rPr>
                    <w:t>Abstract</w:t>
                  </w:r>
                  <w:r w:rsidRPr="00E6571A">
                    <w:rPr>
                      <w:rFonts w:ascii="Cambria" w:eastAsia="Cambria" w:hAnsi="Cambria" w:cs="Cambria"/>
                      <w:i w:val="0"/>
                      <w:iCs w:val="0"/>
                      <w:color w:val="4A442A" w:themeColor="background2" w:themeShade="40"/>
                      <w:sz w:val="20"/>
                      <w:szCs w:val="20"/>
                    </w:rPr>
                    <w:t>:</w:t>
                  </w:r>
                  <w:r w:rsidRPr="00E6571A">
                    <w:rPr>
                      <w:rFonts w:ascii="Cambria" w:eastAsia="Cambria" w:hAnsi="Cambria" w:cs="Cambria"/>
                      <w:i w:val="0"/>
                      <w:iCs w:val="0"/>
                      <w:color w:val="4A442A" w:themeColor="background2" w:themeShade="40"/>
                      <w:spacing w:val="1"/>
                      <w:sz w:val="20"/>
                      <w:szCs w:val="20"/>
                    </w:rPr>
                    <w:t xml:space="preserve"> </w:t>
                  </w:r>
                  <w:r w:rsidR="00A61BEB" w:rsidRPr="00A61BEB">
                    <w:rPr>
                      <w:rFonts w:ascii="Cambria" w:hAnsi="Cambria"/>
                      <w:i w:val="0"/>
                      <w:iCs w:val="0"/>
                      <w:color w:val="4A442A" w:themeColor="background2" w:themeShade="40"/>
                      <w:sz w:val="20"/>
                      <w:szCs w:val="20"/>
                    </w:rPr>
                    <w:t>Now-a-days, a great volatility is emerging in international market which is a consequence of “Geopolitical Disturbance”. “International Trade Instability” is also an outcome of imposed tariff which is responsible to increase international conflicts of international trade and also affects investor confidence and currency stability. Although, across the world, international businesses could be either postponed or withdrawn investment choices due to politically risky areas as the possibility of asset confiscation or sudden legislative changes. Further, protectionist moves are frequently sparked by geopolitical changes as nations attempt to preserve their own sectors. Mixed methodology ha been used to justify the primary objectives of this research study, which exposed some major points like as economic sanctions implemented as a foreign policy instrument can limit particular countries' access to markets, forcing companies to look for other trading partners or rearrange supply chains—often at greater costs. Major findings follow as changes in trade rules, disrupt supply networks, and create uncertainty in the economy mentioned in this research paper. Secondary data has been used to found relevant influencing the distribution of capital, products, and services, these disruptions—which include conflicts, sanctions, and disputed territories as well as modifications in political alliances—have an impact on international markets. As a conclusion of this research paper, it is found that geopolitical disturbance leads to tariff increases and other impediments that lower the volume of trade and reduce the world's economic expansion.</w:t>
                  </w:r>
                </w:p>
                <w:p w14:paraId="3ACE8AFD" w14:textId="77777777" w:rsidR="00A61BEB" w:rsidRPr="00A61BEB" w:rsidRDefault="00A61BEB" w:rsidP="00A61BEB">
                  <w:pPr>
                    <w:jc w:val="both"/>
                    <w:cnfStyle w:val="100000000000" w:firstRow="1" w:lastRow="0" w:firstColumn="0" w:lastColumn="0" w:oddVBand="0" w:evenVBand="0" w:oddHBand="0" w:evenHBand="0" w:firstRowFirstColumn="0" w:firstRowLastColumn="0" w:lastRowFirstColumn="0" w:lastRowLastColumn="0"/>
                    <w:rPr>
                      <w:rFonts w:ascii="Cambria" w:hAnsi="Cambria"/>
                      <w:i w:val="0"/>
                      <w:iCs w:val="0"/>
                      <w:color w:val="4A442A" w:themeColor="background2" w:themeShade="40"/>
                      <w:sz w:val="20"/>
                      <w:szCs w:val="20"/>
                    </w:rPr>
                  </w:pPr>
                </w:p>
                <w:p w14:paraId="2627AABC" w14:textId="5B162D13" w:rsidR="00A927BD" w:rsidRPr="004F1589" w:rsidRDefault="00A61BEB" w:rsidP="00A61BEB">
                  <w:pPr>
                    <w:jc w:val="both"/>
                    <w:cnfStyle w:val="100000000000" w:firstRow="1" w:lastRow="0" w:firstColumn="0" w:lastColumn="0" w:oddVBand="0" w:evenVBand="0" w:oddHBand="0" w:evenHBand="0" w:firstRowFirstColumn="0" w:firstRowLastColumn="0" w:lastRowFirstColumn="0" w:lastRowLastColumn="0"/>
                    <w:rPr>
                      <w:rFonts w:ascii="Cambria" w:eastAsia="Cambria" w:hAnsi="Cambria" w:cs="Cambria"/>
                      <w:bCs/>
                      <w:i w:val="0"/>
                      <w:iCs w:val="0"/>
                      <w:color w:val="4A442A" w:themeColor="background2" w:themeShade="40"/>
                      <w:sz w:val="18"/>
                    </w:rPr>
                  </w:pPr>
                  <w:r w:rsidRPr="00A61BEB">
                    <w:rPr>
                      <w:rFonts w:ascii="Cambria" w:eastAsia="Cambria" w:hAnsi="Cambria" w:cs="Cambria"/>
                      <w:b/>
                      <w:bCs/>
                      <w:i w:val="0"/>
                      <w:iCs w:val="0"/>
                      <w:color w:val="4A442A" w:themeColor="background2" w:themeShade="40"/>
                      <w:sz w:val="20"/>
                      <w:szCs w:val="20"/>
                    </w:rPr>
                    <w:t>Keywords</w:t>
                  </w:r>
                  <w:r w:rsidRPr="00A61BEB">
                    <w:rPr>
                      <w:rFonts w:ascii="Cambria" w:hAnsi="Cambria"/>
                      <w:i w:val="0"/>
                      <w:iCs w:val="0"/>
                      <w:color w:val="4A442A" w:themeColor="background2" w:themeShade="40"/>
                      <w:sz w:val="20"/>
                      <w:szCs w:val="20"/>
                    </w:rPr>
                    <w:t>: Economic Expansion, Geopolitical Changes, International Trade, International Disruption, Volatility</w:t>
                  </w:r>
                  <w:r w:rsidR="00A927BD" w:rsidRPr="004F1589">
                    <w:rPr>
                      <w:rFonts w:ascii="Cambria" w:hAnsi="Cambria"/>
                      <w:i w:val="0"/>
                      <w:iCs w:val="0"/>
                      <w:color w:val="4A442A" w:themeColor="background2" w:themeShade="40"/>
                      <w:sz w:val="20"/>
                      <w:szCs w:val="20"/>
                    </w:rPr>
                    <w:t>.</w:t>
                  </w:r>
                </w:p>
              </w:tc>
            </w:tr>
            <w:tr w:rsidR="004F1589" w:rsidRPr="004F1589" w14:paraId="0E011BDC" w14:textId="77777777" w:rsidTr="00737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7" w:type="dxa"/>
                </w:tcPr>
                <w:p w14:paraId="7D5BCB88" w14:textId="6006DFAF" w:rsidR="00E6571A" w:rsidRPr="004F1589" w:rsidRDefault="00E6571A" w:rsidP="00E449A0">
                  <w:pPr>
                    <w:jc w:val="both"/>
                    <w:rPr>
                      <w:rFonts w:ascii="Cambria" w:eastAsia="Palatino Linotype" w:hAnsi="Cambria" w:cs="Palatino Linotype"/>
                      <w:b/>
                      <w:bCs/>
                      <w:i w:val="0"/>
                      <w:iCs w:val="0"/>
                      <w:color w:val="4A442A" w:themeColor="background2" w:themeShade="40"/>
                      <w:sz w:val="20"/>
                      <w:szCs w:val="20"/>
                    </w:rPr>
                  </w:pPr>
                </w:p>
              </w:tc>
              <w:tc>
                <w:tcPr>
                  <w:tcW w:w="5389" w:type="dxa"/>
                  <w:vMerge/>
                </w:tcPr>
                <w:p w14:paraId="459C088E" w14:textId="5BF667DF" w:rsidR="00A927BD" w:rsidRPr="004F1589" w:rsidRDefault="00A927BD" w:rsidP="00E449A0">
                  <w:pPr>
                    <w:pStyle w:val="BodyText"/>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b/>
                      <w:bCs/>
                      <w:color w:val="4A442A" w:themeColor="background2" w:themeShade="40"/>
                    </w:rPr>
                  </w:pPr>
                </w:p>
              </w:tc>
            </w:tr>
            <w:tr w:rsidR="004F1589" w:rsidRPr="004F1589" w14:paraId="2D0EE78D" w14:textId="77777777" w:rsidTr="00737820">
              <w:tc>
                <w:tcPr>
                  <w:cnfStyle w:val="001000000000" w:firstRow="0" w:lastRow="0" w:firstColumn="1" w:lastColumn="0" w:oddVBand="0" w:evenVBand="0" w:oddHBand="0" w:evenHBand="0" w:firstRowFirstColumn="0" w:firstRowLastColumn="0" w:lastRowFirstColumn="0" w:lastRowLastColumn="0"/>
                  <w:tcW w:w="4037" w:type="dxa"/>
                </w:tcPr>
                <w:p w14:paraId="072177BE" w14:textId="552339FF" w:rsidR="00E449A0" w:rsidRPr="00E6571A" w:rsidRDefault="00E449A0" w:rsidP="00E449A0">
                  <w:pPr>
                    <w:ind w:right="169"/>
                    <w:jc w:val="both"/>
                    <w:outlineLvl w:val="1"/>
                    <w:rPr>
                      <w:rFonts w:ascii="Cambria" w:eastAsia="Palatino Linotype" w:hAnsi="Cambria" w:cs="Palatino Linotype"/>
                      <w:b/>
                      <w:bCs/>
                      <w:i w:val="0"/>
                      <w:iCs w:val="0"/>
                      <w:color w:val="4A442A" w:themeColor="background2" w:themeShade="40"/>
                      <w:sz w:val="20"/>
                      <w:szCs w:val="20"/>
                    </w:rPr>
                  </w:pPr>
                  <w:r w:rsidRPr="00E6571A">
                    <w:rPr>
                      <w:rFonts w:ascii="Cambria" w:eastAsia="Palatino Linotype" w:hAnsi="Cambria" w:cs="Palatino Linotype"/>
                      <w:b/>
                      <w:bCs/>
                      <w:i w:val="0"/>
                      <w:iCs w:val="0"/>
                      <w:color w:val="4A442A" w:themeColor="background2" w:themeShade="40"/>
                      <w:sz w:val="20"/>
                      <w:szCs w:val="20"/>
                    </w:rPr>
                    <w:t>Name of Author:</w:t>
                  </w:r>
                </w:p>
              </w:tc>
              <w:tc>
                <w:tcPr>
                  <w:tcW w:w="5389" w:type="dxa"/>
                  <w:vMerge/>
                </w:tcPr>
                <w:p w14:paraId="29FB6999" w14:textId="77777777" w:rsidR="00E449A0" w:rsidRPr="004F1589" w:rsidRDefault="00E449A0" w:rsidP="00E449A0">
                  <w:pPr>
                    <w:pStyle w:val="BodyText"/>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b/>
                      <w:bCs/>
                      <w:color w:val="4A442A" w:themeColor="background2" w:themeShade="40"/>
                    </w:rPr>
                  </w:pPr>
                </w:p>
              </w:tc>
            </w:tr>
            <w:tr w:rsidR="004F1589" w:rsidRPr="004F1589" w14:paraId="48C5508B" w14:textId="77777777" w:rsidTr="00737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7" w:type="dxa"/>
                </w:tcPr>
                <w:p w14:paraId="1B1A2C9D" w14:textId="60384F99" w:rsidR="00A927BD" w:rsidRPr="004F1589" w:rsidRDefault="00A61BEB" w:rsidP="00E449A0">
                  <w:pPr>
                    <w:jc w:val="both"/>
                    <w:rPr>
                      <w:rFonts w:ascii="Cambria" w:eastAsia="Palatino Linotype" w:hAnsi="Cambria" w:cs="Palatino Linotype"/>
                      <w:b/>
                      <w:bCs/>
                      <w:i w:val="0"/>
                      <w:iCs w:val="0"/>
                      <w:color w:val="4A442A" w:themeColor="background2" w:themeShade="40"/>
                      <w:sz w:val="20"/>
                      <w:szCs w:val="20"/>
                    </w:rPr>
                  </w:pPr>
                  <w:r w:rsidRPr="00A61BEB">
                    <w:rPr>
                      <w:rFonts w:ascii="Cambria" w:eastAsia="Palatino Linotype" w:hAnsi="Cambria" w:cs="Palatino Linotype"/>
                      <w:i w:val="0"/>
                      <w:iCs w:val="0"/>
                      <w:color w:val="4A442A" w:themeColor="background2" w:themeShade="40"/>
                      <w:sz w:val="20"/>
                      <w:szCs w:val="20"/>
                    </w:rPr>
                    <w:t>Dr. Ashutosh Verma</w:t>
                  </w:r>
                  <w:r w:rsidRPr="00A61BEB">
                    <w:rPr>
                      <w:rFonts w:ascii="Cambria" w:eastAsia="Palatino Linotype" w:hAnsi="Cambria" w:cs="Palatino Linotype"/>
                      <w:i w:val="0"/>
                      <w:iCs w:val="0"/>
                      <w:color w:val="4A442A" w:themeColor="background2" w:themeShade="40"/>
                      <w:sz w:val="20"/>
                      <w:szCs w:val="20"/>
                      <w:vertAlign w:val="superscript"/>
                    </w:rPr>
                    <w:t>1</w:t>
                  </w:r>
                  <w:r w:rsidRPr="00A61BEB">
                    <w:rPr>
                      <w:rFonts w:ascii="Cambria" w:eastAsia="Palatino Linotype" w:hAnsi="Cambria" w:cs="Palatino Linotype"/>
                      <w:i w:val="0"/>
                      <w:iCs w:val="0"/>
                      <w:color w:val="4A442A" w:themeColor="background2" w:themeShade="40"/>
                      <w:sz w:val="20"/>
                      <w:szCs w:val="20"/>
                    </w:rPr>
                    <w:t>, Abhimanyu Gupta</w:t>
                  </w:r>
                  <w:r w:rsidRPr="00A61BEB">
                    <w:rPr>
                      <w:rFonts w:ascii="Cambria" w:eastAsia="Palatino Linotype" w:hAnsi="Cambria" w:cs="Palatino Linotype"/>
                      <w:i w:val="0"/>
                      <w:iCs w:val="0"/>
                      <w:color w:val="4A442A" w:themeColor="background2" w:themeShade="40"/>
                      <w:sz w:val="20"/>
                      <w:szCs w:val="20"/>
                      <w:vertAlign w:val="superscript"/>
                    </w:rPr>
                    <w:t>2</w:t>
                  </w:r>
                  <w:r w:rsidRPr="00A61BEB">
                    <w:rPr>
                      <w:rFonts w:ascii="Cambria" w:eastAsia="Palatino Linotype" w:hAnsi="Cambria" w:cs="Palatino Linotype"/>
                      <w:i w:val="0"/>
                      <w:iCs w:val="0"/>
                      <w:color w:val="4A442A" w:themeColor="background2" w:themeShade="40"/>
                      <w:sz w:val="20"/>
                      <w:szCs w:val="20"/>
                    </w:rPr>
                    <w:t>, Dr. Shiji Prasannan</w:t>
                  </w:r>
                  <w:r w:rsidRPr="00A61BEB">
                    <w:rPr>
                      <w:rFonts w:ascii="Cambria" w:eastAsia="Palatino Linotype" w:hAnsi="Cambria" w:cs="Palatino Linotype"/>
                      <w:i w:val="0"/>
                      <w:iCs w:val="0"/>
                      <w:color w:val="4A442A" w:themeColor="background2" w:themeShade="40"/>
                      <w:sz w:val="20"/>
                      <w:szCs w:val="20"/>
                      <w:vertAlign w:val="superscript"/>
                    </w:rPr>
                    <w:t>3</w:t>
                  </w:r>
                  <w:r w:rsidRPr="00A61BEB">
                    <w:rPr>
                      <w:rFonts w:ascii="Cambria" w:eastAsia="Palatino Linotype" w:hAnsi="Cambria" w:cs="Palatino Linotype"/>
                      <w:i w:val="0"/>
                      <w:iCs w:val="0"/>
                      <w:color w:val="4A442A" w:themeColor="background2" w:themeShade="40"/>
                      <w:sz w:val="20"/>
                      <w:szCs w:val="20"/>
                    </w:rPr>
                    <w:t>, Dr. Yashesh Zaveri</w:t>
                  </w:r>
                  <w:r w:rsidRPr="00A61BEB">
                    <w:rPr>
                      <w:rFonts w:ascii="Cambria" w:eastAsia="Palatino Linotype" w:hAnsi="Cambria" w:cs="Palatino Linotype"/>
                      <w:i w:val="0"/>
                      <w:iCs w:val="0"/>
                      <w:color w:val="4A442A" w:themeColor="background2" w:themeShade="40"/>
                      <w:sz w:val="20"/>
                      <w:szCs w:val="20"/>
                      <w:vertAlign w:val="superscript"/>
                    </w:rPr>
                    <w:t>4</w:t>
                  </w:r>
                  <w:r w:rsidRPr="00A61BEB">
                    <w:rPr>
                      <w:rFonts w:ascii="Cambria" w:eastAsia="Palatino Linotype" w:hAnsi="Cambria" w:cs="Palatino Linotype"/>
                      <w:i w:val="0"/>
                      <w:iCs w:val="0"/>
                      <w:color w:val="4A442A" w:themeColor="background2" w:themeShade="40"/>
                      <w:sz w:val="20"/>
                      <w:szCs w:val="20"/>
                    </w:rPr>
                    <w:t>,</w:t>
                  </w:r>
                  <w:r>
                    <w:rPr>
                      <w:rFonts w:ascii="Cambria" w:eastAsia="Palatino Linotype" w:hAnsi="Cambria" w:cs="Palatino Linotype"/>
                      <w:i w:val="0"/>
                      <w:iCs w:val="0"/>
                      <w:color w:val="4A442A" w:themeColor="background2" w:themeShade="40"/>
                      <w:sz w:val="20"/>
                      <w:szCs w:val="20"/>
                    </w:rPr>
                    <w:t xml:space="preserve"> </w:t>
                  </w:r>
                  <w:r w:rsidRPr="00A61BEB">
                    <w:rPr>
                      <w:rFonts w:ascii="Cambria" w:eastAsia="Palatino Linotype" w:hAnsi="Cambria" w:cs="Palatino Linotype"/>
                      <w:i w:val="0"/>
                      <w:iCs w:val="0"/>
                      <w:color w:val="4A442A" w:themeColor="background2" w:themeShade="40"/>
                      <w:sz w:val="20"/>
                      <w:szCs w:val="20"/>
                    </w:rPr>
                    <w:t>Meet Ramchandani</w:t>
                  </w:r>
                  <w:r w:rsidRPr="00A61BEB">
                    <w:rPr>
                      <w:rFonts w:ascii="Cambria" w:eastAsia="Palatino Linotype" w:hAnsi="Cambria" w:cs="Palatino Linotype"/>
                      <w:i w:val="0"/>
                      <w:iCs w:val="0"/>
                      <w:color w:val="4A442A" w:themeColor="background2" w:themeShade="40"/>
                      <w:sz w:val="20"/>
                      <w:szCs w:val="20"/>
                      <w:vertAlign w:val="superscript"/>
                    </w:rPr>
                    <w:t>5</w:t>
                  </w:r>
                  <w:r w:rsidRPr="00A61BEB">
                    <w:rPr>
                      <w:rFonts w:ascii="Cambria" w:eastAsia="Palatino Linotype" w:hAnsi="Cambria" w:cs="Palatino Linotype"/>
                      <w:i w:val="0"/>
                      <w:iCs w:val="0"/>
                      <w:color w:val="4A442A" w:themeColor="background2" w:themeShade="40"/>
                      <w:sz w:val="20"/>
                      <w:szCs w:val="20"/>
                    </w:rPr>
                    <w:t>, and Rishabh Kumar Mishra</w:t>
                  </w:r>
                  <w:r w:rsidRPr="00A61BEB">
                    <w:rPr>
                      <w:rFonts w:ascii="Cambria" w:eastAsia="Palatino Linotype" w:hAnsi="Cambria" w:cs="Palatino Linotype"/>
                      <w:i w:val="0"/>
                      <w:iCs w:val="0"/>
                      <w:color w:val="4A442A" w:themeColor="background2" w:themeShade="40"/>
                      <w:sz w:val="20"/>
                      <w:szCs w:val="20"/>
                      <w:vertAlign w:val="superscript"/>
                    </w:rPr>
                    <w:t>6</w:t>
                  </w:r>
                </w:p>
              </w:tc>
              <w:tc>
                <w:tcPr>
                  <w:tcW w:w="5389" w:type="dxa"/>
                  <w:vMerge/>
                </w:tcPr>
                <w:p w14:paraId="562E4977" w14:textId="0B7BF0C3" w:rsidR="00A927BD" w:rsidRPr="004F1589" w:rsidRDefault="00A927BD" w:rsidP="00E449A0">
                  <w:pPr>
                    <w:pStyle w:val="BodyText"/>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b/>
                      <w:bCs/>
                      <w:color w:val="4A442A" w:themeColor="background2" w:themeShade="40"/>
                    </w:rPr>
                  </w:pPr>
                </w:p>
              </w:tc>
            </w:tr>
            <w:tr w:rsidR="004F1589" w:rsidRPr="004F1589" w14:paraId="4461C6AB" w14:textId="77777777" w:rsidTr="00737820">
              <w:trPr>
                <w:trHeight w:val="950"/>
              </w:trPr>
              <w:tc>
                <w:tcPr>
                  <w:cnfStyle w:val="001000000000" w:firstRow="0" w:lastRow="0" w:firstColumn="1" w:lastColumn="0" w:oddVBand="0" w:evenVBand="0" w:oddHBand="0" w:evenHBand="0" w:firstRowFirstColumn="0" w:firstRowLastColumn="0" w:lastRowFirstColumn="0" w:lastRowLastColumn="0"/>
                  <w:tcW w:w="4037" w:type="dxa"/>
                </w:tcPr>
                <w:p w14:paraId="49C557CD" w14:textId="77777777" w:rsidR="00E6571A" w:rsidRDefault="00E6571A" w:rsidP="00E449A0">
                  <w:pPr>
                    <w:jc w:val="both"/>
                    <w:rPr>
                      <w:rFonts w:ascii="Cambria" w:eastAsia="Palatino Linotype" w:hAnsi="Cambria" w:cs="Palatino Linotype"/>
                      <w:b/>
                      <w:bCs/>
                      <w:color w:val="4A442A" w:themeColor="background2" w:themeShade="40"/>
                      <w:sz w:val="20"/>
                      <w:szCs w:val="20"/>
                    </w:rPr>
                  </w:pPr>
                </w:p>
                <w:p w14:paraId="1274F987" w14:textId="77777777" w:rsidR="001246FF" w:rsidRDefault="00A927BD" w:rsidP="00A61BEB">
                  <w:pPr>
                    <w:jc w:val="both"/>
                    <w:rPr>
                      <w:rFonts w:ascii="Cambria" w:eastAsia="Cambria" w:hAnsi="Cambria" w:cs="Cambria"/>
                      <w:color w:val="4A442A" w:themeColor="background2" w:themeShade="40"/>
                      <w:sz w:val="18"/>
                      <w:vertAlign w:val="superscript"/>
                    </w:rPr>
                  </w:pPr>
                  <w:r w:rsidRPr="00E6571A">
                    <w:rPr>
                      <w:rFonts w:ascii="Cambria" w:eastAsia="Palatino Linotype" w:hAnsi="Cambria" w:cs="Palatino Linotype"/>
                      <w:b/>
                      <w:bCs/>
                      <w:i w:val="0"/>
                      <w:iCs w:val="0"/>
                      <w:color w:val="4A442A" w:themeColor="background2" w:themeShade="40"/>
                      <w:sz w:val="20"/>
                      <w:szCs w:val="20"/>
                    </w:rPr>
                    <w:t>Affiliation</w:t>
                  </w:r>
                  <w:r w:rsidRPr="004F1589">
                    <w:rPr>
                      <w:rFonts w:ascii="Cambria" w:eastAsia="Palatino Linotype" w:hAnsi="Cambria" w:cs="Palatino Linotype"/>
                      <w:i w:val="0"/>
                      <w:iCs w:val="0"/>
                      <w:color w:val="4A442A" w:themeColor="background2" w:themeShade="40"/>
                      <w:sz w:val="20"/>
                      <w:szCs w:val="20"/>
                    </w:rPr>
                    <w:t>:</w:t>
                  </w:r>
                  <w:r w:rsidRPr="004F1589">
                    <w:rPr>
                      <w:rFonts w:ascii="Cambria" w:eastAsia="Cambria" w:hAnsi="Cambria" w:cs="Cambria"/>
                      <w:i w:val="0"/>
                      <w:iCs w:val="0"/>
                      <w:color w:val="4A442A" w:themeColor="background2" w:themeShade="40"/>
                      <w:sz w:val="18"/>
                      <w:vertAlign w:val="superscript"/>
                    </w:rPr>
                    <w:t xml:space="preserve"> </w:t>
                  </w:r>
                </w:p>
                <w:p w14:paraId="341E1B66" w14:textId="38AAFB3C" w:rsidR="00A61BEB" w:rsidRPr="00A61BEB" w:rsidRDefault="00A927BD" w:rsidP="00A61BEB">
                  <w:pPr>
                    <w:jc w:val="both"/>
                    <w:rPr>
                      <w:rFonts w:ascii="Cambria" w:eastAsia="Cambria" w:hAnsi="Cambria" w:cs="Cambria"/>
                      <w:i w:val="0"/>
                      <w:iCs w:val="0"/>
                      <w:color w:val="4A442A" w:themeColor="background2" w:themeShade="40"/>
                      <w:sz w:val="18"/>
                    </w:rPr>
                  </w:pPr>
                  <w:r w:rsidRPr="004F1589">
                    <w:rPr>
                      <w:rFonts w:ascii="Cambria" w:eastAsia="Cambria" w:hAnsi="Cambria" w:cs="Cambria"/>
                      <w:i w:val="0"/>
                      <w:iCs w:val="0"/>
                      <w:color w:val="4A442A" w:themeColor="background2" w:themeShade="40"/>
                    </w:rPr>
                    <w:t xml:space="preserve"> </w:t>
                  </w:r>
                  <w:r w:rsidR="00A61BEB" w:rsidRPr="00A61BEB">
                    <w:rPr>
                      <w:rFonts w:ascii="Cambria" w:eastAsia="Cambria" w:hAnsi="Cambria" w:cs="Cambria"/>
                      <w:i w:val="0"/>
                      <w:iCs w:val="0"/>
                      <w:color w:val="4A442A" w:themeColor="background2" w:themeShade="40"/>
                      <w:sz w:val="18"/>
                      <w:vertAlign w:val="superscript"/>
                    </w:rPr>
                    <w:t>1</w:t>
                  </w:r>
                  <w:r w:rsidR="00A61BEB" w:rsidRPr="00A61BEB">
                    <w:rPr>
                      <w:rFonts w:ascii="Cambria" w:eastAsia="Cambria" w:hAnsi="Cambria" w:cs="Cambria"/>
                      <w:i w:val="0"/>
                      <w:iCs w:val="0"/>
                      <w:color w:val="4A442A" w:themeColor="background2" w:themeShade="40"/>
                      <w:sz w:val="18"/>
                    </w:rPr>
                    <w:t xml:space="preserve">Associate Professor, Parul Institute of Management and Research, Parul University, Vadodara, India </w:t>
                  </w:r>
                </w:p>
                <w:p w14:paraId="696ACDDD" w14:textId="77777777" w:rsidR="00A61BEB" w:rsidRPr="00A61BEB" w:rsidRDefault="00A61BEB" w:rsidP="00A61BEB">
                  <w:pPr>
                    <w:jc w:val="both"/>
                    <w:rPr>
                      <w:rFonts w:ascii="Cambria" w:eastAsia="Cambria" w:hAnsi="Cambria" w:cs="Cambria"/>
                      <w:i w:val="0"/>
                      <w:iCs w:val="0"/>
                      <w:color w:val="4A442A" w:themeColor="background2" w:themeShade="40"/>
                      <w:sz w:val="18"/>
                    </w:rPr>
                  </w:pPr>
                  <w:r w:rsidRPr="00A61BEB">
                    <w:rPr>
                      <w:rFonts w:ascii="Cambria" w:eastAsia="Cambria" w:hAnsi="Cambria" w:cs="Cambria"/>
                      <w:i w:val="0"/>
                      <w:iCs w:val="0"/>
                      <w:color w:val="4A442A" w:themeColor="background2" w:themeShade="40"/>
                      <w:sz w:val="18"/>
                      <w:vertAlign w:val="superscript"/>
                    </w:rPr>
                    <w:t>2</w:t>
                  </w:r>
                  <w:r w:rsidRPr="00A61BEB">
                    <w:rPr>
                      <w:rFonts w:ascii="Cambria" w:eastAsia="Cambria" w:hAnsi="Cambria" w:cs="Cambria"/>
                      <w:i w:val="0"/>
                      <w:iCs w:val="0"/>
                      <w:color w:val="4A442A" w:themeColor="background2" w:themeShade="40"/>
                      <w:sz w:val="18"/>
                    </w:rPr>
                    <w:t>Assistant Professor, Parul Institute of Management and Research, Parul University, Vadodara, India</w:t>
                  </w:r>
                </w:p>
                <w:p w14:paraId="64044508" w14:textId="77777777" w:rsidR="00A61BEB" w:rsidRPr="00A61BEB" w:rsidRDefault="00A61BEB" w:rsidP="00A61BEB">
                  <w:pPr>
                    <w:jc w:val="both"/>
                    <w:rPr>
                      <w:rFonts w:ascii="Cambria" w:eastAsia="Cambria" w:hAnsi="Cambria" w:cs="Cambria"/>
                      <w:i w:val="0"/>
                      <w:iCs w:val="0"/>
                      <w:color w:val="4A442A" w:themeColor="background2" w:themeShade="40"/>
                      <w:sz w:val="18"/>
                    </w:rPr>
                  </w:pPr>
                  <w:r w:rsidRPr="00A61BEB">
                    <w:rPr>
                      <w:rFonts w:ascii="Cambria" w:eastAsia="Cambria" w:hAnsi="Cambria" w:cs="Cambria"/>
                      <w:i w:val="0"/>
                      <w:iCs w:val="0"/>
                      <w:color w:val="4A442A" w:themeColor="background2" w:themeShade="40"/>
                      <w:sz w:val="18"/>
                      <w:vertAlign w:val="superscript"/>
                    </w:rPr>
                    <w:t>3</w:t>
                  </w:r>
                  <w:r w:rsidRPr="00A61BEB">
                    <w:rPr>
                      <w:rFonts w:ascii="Cambria" w:eastAsia="Cambria" w:hAnsi="Cambria" w:cs="Cambria"/>
                      <w:i w:val="0"/>
                      <w:iCs w:val="0"/>
                      <w:color w:val="4A442A" w:themeColor="background2" w:themeShade="40"/>
                      <w:sz w:val="18"/>
                    </w:rPr>
                    <w:t>Assistant Professor, Parul Institute of Management and Research, Parul University, Vadodara, India</w:t>
                  </w:r>
                </w:p>
                <w:p w14:paraId="12D93859" w14:textId="77777777" w:rsidR="00A61BEB" w:rsidRPr="00A61BEB" w:rsidRDefault="00A61BEB" w:rsidP="00A61BEB">
                  <w:pPr>
                    <w:jc w:val="both"/>
                    <w:rPr>
                      <w:rFonts w:ascii="Cambria" w:eastAsia="Cambria" w:hAnsi="Cambria" w:cs="Cambria"/>
                      <w:i w:val="0"/>
                      <w:iCs w:val="0"/>
                      <w:color w:val="4A442A" w:themeColor="background2" w:themeShade="40"/>
                      <w:sz w:val="18"/>
                    </w:rPr>
                  </w:pPr>
                  <w:r w:rsidRPr="00A61BEB">
                    <w:rPr>
                      <w:rFonts w:ascii="Cambria" w:eastAsia="Cambria" w:hAnsi="Cambria" w:cs="Cambria"/>
                      <w:i w:val="0"/>
                      <w:iCs w:val="0"/>
                      <w:color w:val="4A442A" w:themeColor="background2" w:themeShade="40"/>
                      <w:sz w:val="18"/>
                      <w:vertAlign w:val="superscript"/>
                    </w:rPr>
                    <w:t>4</w:t>
                  </w:r>
                  <w:r w:rsidRPr="00A61BEB">
                    <w:rPr>
                      <w:rFonts w:ascii="Cambria" w:eastAsia="Cambria" w:hAnsi="Cambria" w:cs="Cambria"/>
                      <w:i w:val="0"/>
                      <w:iCs w:val="0"/>
                      <w:color w:val="4A442A" w:themeColor="background2" w:themeShade="40"/>
                      <w:sz w:val="18"/>
                    </w:rPr>
                    <w:t>Associate Professor, Parul Institute of Management and Research, Parul University,</w:t>
                  </w:r>
                </w:p>
                <w:p w14:paraId="32536C26" w14:textId="77777777" w:rsidR="00A61BEB" w:rsidRPr="00A61BEB" w:rsidRDefault="00A61BEB" w:rsidP="00A61BEB">
                  <w:pPr>
                    <w:jc w:val="both"/>
                    <w:rPr>
                      <w:rFonts w:ascii="Cambria" w:eastAsia="Cambria" w:hAnsi="Cambria" w:cs="Cambria"/>
                      <w:i w:val="0"/>
                      <w:iCs w:val="0"/>
                      <w:color w:val="4A442A" w:themeColor="background2" w:themeShade="40"/>
                      <w:sz w:val="18"/>
                    </w:rPr>
                  </w:pPr>
                  <w:r w:rsidRPr="00A61BEB">
                    <w:rPr>
                      <w:rFonts w:ascii="Cambria" w:eastAsia="Cambria" w:hAnsi="Cambria" w:cs="Cambria"/>
                      <w:i w:val="0"/>
                      <w:iCs w:val="0"/>
                      <w:color w:val="4A442A" w:themeColor="background2" w:themeShade="40"/>
                      <w:sz w:val="18"/>
                    </w:rPr>
                    <w:t>Vadodara, India</w:t>
                  </w:r>
                </w:p>
                <w:p w14:paraId="4568C206" w14:textId="77777777" w:rsidR="00A61BEB" w:rsidRPr="00A61BEB" w:rsidRDefault="00A61BEB" w:rsidP="00A61BEB">
                  <w:pPr>
                    <w:jc w:val="both"/>
                    <w:rPr>
                      <w:rFonts w:ascii="Cambria" w:eastAsia="Cambria" w:hAnsi="Cambria" w:cs="Cambria"/>
                      <w:i w:val="0"/>
                      <w:iCs w:val="0"/>
                      <w:color w:val="4A442A" w:themeColor="background2" w:themeShade="40"/>
                      <w:sz w:val="18"/>
                    </w:rPr>
                  </w:pPr>
                  <w:r w:rsidRPr="00A61BEB">
                    <w:rPr>
                      <w:rFonts w:ascii="Cambria" w:eastAsia="Cambria" w:hAnsi="Cambria" w:cs="Cambria"/>
                      <w:i w:val="0"/>
                      <w:iCs w:val="0"/>
                      <w:color w:val="4A442A" w:themeColor="background2" w:themeShade="40"/>
                      <w:sz w:val="18"/>
                      <w:vertAlign w:val="superscript"/>
                    </w:rPr>
                    <w:t>5</w:t>
                  </w:r>
                  <w:r w:rsidRPr="00A61BEB">
                    <w:rPr>
                      <w:rFonts w:ascii="Cambria" w:eastAsia="Cambria" w:hAnsi="Cambria" w:cs="Cambria"/>
                      <w:i w:val="0"/>
                      <w:iCs w:val="0"/>
                      <w:color w:val="4A442A" w:themeColor="background2" w:themeShade="40"/>
                      <w:sz w:val="18"/>
                    </w:rPr>
                    <w:t>Assistant Professor, Institute of Management and Research, Sage University, Indore, India</w:t>
                  </w:r>
                </w:p>
                <w:p w14:paraId="567A0CF3" w14:textId="5EE84050" w:rsidR="00A927BD" w:rsidRPr="004F1589" w:rsidRDefault="00A61BEB" w:rsidP="00A61BEB">
                  <w:pPr>
                    <w:jc w:val="both"/>
                    <w:rPr>
                      <w:rFonts w:ascii="Cambria" w:eastAsia="Cambria" w:hAnsi="Cambria" w:cs="Cambria"/>
                      <w:b/>
                      <w:bCs/>
                      <w:i w:val="0"/>
                      <w:iCs w:val="0"/>
                      <w:color w:val="4A442A" w:themeColor="background2" w:themeShade="40"/>
                      <w:sz w:val="18"/>
                    </w:rPr>
                  </w:pPr>
                  <w:r w:rsidRPr="00A61BEB">
                    <w:rPr>
                      <w:rFonts w:ascii="Cambria" w:eastAsia="Cambria" w:hAnsi="Cambria" w:cs="Cambria"/>
                      <w:i w:val="0"/>
                      <w:iCs w:val="0"/>
                      <w:color w:val="4A442A" w:themeColor="background2" w:themeShade="40"/>
                      <w:sz w:val="18"/>
                      <w:vertAlign w:val="superscript"/>
                    </w:rPr>
                    <w:t>6</w:t>
                  </w:r>
                  <w:r w:rsidRPr="00A61BEB">
                    <w:rPr>
                      <w:rFonts w:ascii="Cambria" w:eastAsia="Cambria" w:hAnsi="Cambria" w:cs="Cambria"/>
                      <w:i w:val="0"/>
                      <w:iCs w:val="0"/>
                      <w:color w:val="4A442A" w:themeColor="background2" w:themeShade="40"/>
                      <w:sz w:val="18"/>
                    </w:rPr>
                    <w:t>MBA Student, Parul Institute of Management and Research, Parul University, Vadodara, India</w:t>
                  </w:r>
                </w:p>
              </w:tc>
              <w:tc>
                <w:tcPr>
                  <w:tcW w:w="5389" w:type="dxa"/>
                  <w:vMerge/>
                </w:tcPr>
                <w:p w14:paraId="234FB865" w14:textId="67782D70" w:rsidR="00A927BD" w:rsidRPr="004F1589" w:rsidRDefault="00A927BD" w:rsidP="00E449A0">
                  <w:pPr>
                    <w:pStyle w:val="BodyText"/>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b/>
                      <w:bCs/>
                      <w:color w:val="4A442A" w:themeColor="background2" w:themeShade="40"/>
                    </w:rPr>
                  </w:pPr>
                </w:p>
              </w:tc>
            </w:tr>
            <w:tr w:rsidR="004F1589" w:rsidRPr="004F1589" w14:paraId="6B79D8E1" w14:textId="77777777" w:rsidTr="00737820">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4037" w:type="dxa"/>
                </w:tcPr>
                <w:p w14:paraId="0CDC475D" w14:textId="77777777" w:rsidR="00A2678F" w:rsidRDefault="00A2678F" w:rsidP="00E449A0">
                  <w:pPr>
                    <w:jc w:val="both"/>
                    <w:rPr>
                      <w:rFonts w:ascii="Cambria" w:eastAsia="Palatino Linotype" w:hAnsi="Cambria" w:cs="Palatino Linotype"/>
                      <w:b/>
                      <w:bCs/>
                      <w:color w:val="4A442A" w:themeColor="background2" w:themeShade="40"/>
                      <w:sz w:val="20"/>
                      <w:szCs w:val="20"/>
                    </w:rPr>
                  </w:pPr>
                </w:p>
                <w:p w14:paraId="7DDA6E62" w14:textId="76E6BC8C" w:rsidR="00A927BD" w:rsidRDefault="00A927BD" w:rsidP="00E449A0">
                  <w:pPr>
                    <w:jc w:val="both"/>
                    <w:rPr>
                      <w:rFonts w:ascii="Cambria" w:eastAsia="Palatino Linotype" w:hAnsi="Cambria" w:cs="Palatino Linotype"/>
                      <w:b/>
                      <w:bCs/>
                      <w:color w:val="4A442A" w:themeColor="background2" w:themeShade="40"/>
                      <w:sz w:val="20"/>
                      <w:szCs w:val="20"/>
                    </w:rPr>
                  </w:pPr>
                  <w:r w:rsidRPr="00E6571A">
                    <w:rPr>
                      <w:rFonts w:ascii="Cambria" w:eastAsia="Palatino Linotype" w:hAnsi="Cambria" w:cs="Palatino Linotype"/>
                      <w:b/>
                      <w:bCs/>
                      <w:i w:val="0"/>
                      <w:iCs w:val="0"/>
                      <w:color w:val="4A442A" w:themeColor="background2" w:themeShade="40"/>
                      <w:sz w:val="20"/>
                      <w:szCs w:val="20"/>
                    </w:rPr>
                    <w:t>Corresponding Author</w:t>
                  </w:r>
                  <w:r w:rsidR="00E449A0" w:rsidRPr="00E6571A">
                    <w:rPr>
                      <w:rFonts w:ascii="Cambria" w:eastAsia="Palatino Linotype" w:hAnsi="Cambria" w:cs="Palatino Linotype"/>
                      <w:b/>
                      <w:bCs/>
                      <w:i w:val="0"/>
                      <w:iCs w:val="0"/>
                      <w:color w:val="4A442A" w:themeColor="background2" w:themeShade="40"/>
                      <w:sz w:val="20"/>
                      <w:szCs w:val="20"/>
                    </w:rPr>
                    <w:t>:</w:t>
                  </w:r>
                </w:p>
                <w:p w14:paraId="0B48F7CB" w14:textId="230CCFDC" w:rsidR="00266707" w:rsidRDefault="00A61BEB" w:rsidP="00E449A0">
                  <w:pPr>
                    <w:jc w:val="both"/>
                    <w:rPr>
                      <w:rFonts w:ascii="Cambria" w:eastAsia="Palatino Linotype" w:hAnsi="Cambria" w:cs="Palatino Linotype"/>
                      <w:color w:val="4A442A" w:themeColor="background2" w:themeShade="40"/>
                      <w:sz w:val="20"/>
                      <w:szCs w:val="20"/>
                    </w:rPr>
                  </w:pPr>
                  <w:r w:rsidRPr="00A61BEB">
                    <w:rPr>
                      <w:rFonts w:ascii="Cambria" w:eastAsia="Palatino Linotype" w:hAnsi="Cambria" w:cs="Palatino Linotype"/>
                      <w:i w:val="0"/>
                      <w:iCs w:val="0"/>
                      <w:color w:val="4A442A" w:themeColor="background2" w:themeShade="40"/>
                      <w:sz w:val="20"/>
                      <w:szCs w:val="20"/>
                    </w:rPr>
                    <w:t>Abhimanyu Gupta</w:t>
                  </w:r>
                </w:p>
                <w:p w14:paraId="3B72780B" w14:textId="77777777" w:rsidR="00266707" w:rsidRPr="00266707" w:rsidRDefault="00266707" w:rsidP="00E449A0">
                  <w:pPr>
                    <w:jc w:val="both"/>
                    <w:rPr>
                      <w:rFonts w:ascii="Cambria" w:eastAsia="Palatino Linotype" w:hAnsi="Cambria" w:cs="Palatino Linotype"/>
                      <w:color w:val="4A442A" w:themeColor="background2" w:themeShade="40"/>
                      <w:sz w:val="20"/>
                      <w:szCs w:val="20"/>
                    </w:rPr>
                  </w:pPr>
                </w:p>
                <w:p w14:paraId="2422933B" w14:textId="7D8502C5" w:rsidR="00266707" w:rsidRDefault="00266707" w:rsidP="00E449A0">
                  <w:pPr>
                    <w:jc w:val="both"/>
                    <w:rPr>
                      <w:rFonts w:ascii="Cambria" w:hAnsi="Cambria"/>
                      <w:i w:val="0"/>
                      <w:iCs w:val="0"/>
                      <w:sz w:val="20"/>
                      <w:szCs w:val="20"/>
                    </w:rPr>
                  </w:pPr>
                  <w:r>
                    <w:rPr>
                      <w:rFonts w:ascii="Cambria" w:eastAsia="Palatino Linotype" w:hAnsi="Cambria" w:cs="Palatino Linotype"/>
                      <w:b/>
                      <w:bCs/>
                      <w:i w:val="0"/>
                      <w:iCs w:val="0"/>
                      <w:color w:val="4A442A" w:themeColor="background2" w:themeShade="40"/>
                      <w:sz w:val="20"/>
                      <w:szCs w:val="20"/>
                    </w:rPr>
                    <w:t xml:space="preserve">Email: </w:t>
                  </w:r>
                  <w:hyperlink r:id="rId7" w:history="1">
                    <w:r w:rsidR="00A61BEB" w:rsidRPr="00457378">
                      <w:rPr>
                        <w:rStyle w:val="Hyperlink"/>
                        <w:rFonts w:ascii="Cambria" w:eastAsia="Palatino Linotype" w:hAnsi="Cambria" w:cs="Palatino Linotype"/>
                        <w:b/>
                        <w:bCs/>
                        <w:sz w:val="20"/>
                        <w:szCs w:val="20"/>
                      </w:rPr>
                      <w:t>ecoabhimanyugupta@gmail.com</w:t>
                    </w:r>
                  </w:hyperlink>
                  <w:r w:rsidR="00A61BEB">
                    <w:rPr>
                      <w:rFonts w:ascii="Cambria" w:eastAsia="Palatino Linotype" w:hAnsi="Cambria" w:cs="Palatino Linotype"/>
                      <w:b/>
                      <w:bCs/>
                      <w:color w:val="4A442A" w:themeColor="background2" w:themeShade="40"/>
                      <w:sz w:val="20"/>
                      <w:szCs w:val="20"/>
                    </w:rPr>
                    <w:t xml:space="preserve"> </w:t>
                  </w:r>
                  <w:r w:rsidR="007213CC">
                    <w:rPr>
                      <w:rFonts w:ascii="Cambria" w:eastAsia="Palatino Linotype" w:hAnsi="Cambria" w:cs="Palatino Linotype"/>
                      <w:b/>
                      <w:bCs/>
                      <w:i w:val="0"/>
                      <w:iCs w:val="0"/>
                      <w:color w:val="4A442A" w:themeColor="background2" w:themeShade="40"/>
                      <w:sz w:val="20"/>
                      <w:szCs w:val="20"/>
                    </w:rPr>
                    <w:t xml:space="preserve"> </w:t>
                  </w:r>
                </w:p>
                <w:p w14:paraId="0E4A3DE1" w14:textId="2CA679A1" w:rsidR="00266707" w:rsidRPr="00E6571A" w:rsidRDefault="00266707" w:rsidP="00E449A0">
                  <w:pPr>
                    <w:jc w:val="both"/>
                    <w:rPr>
                      <w:rFonts w:ascii="Cambria" w:eastAsia="Palatino Linotype" w:hAnsi="Cambria" w:cs="Palatino Linotype"/>
                      <w:b/>
                      <w:bCs/>
                      <w:i w:val="0"/>
                      <w:iCs w:val="0"/>
                      <w:color w:val="4A442A" w:themeColor="background2" w:themeShade="40"/>
                      <w:sz w:val="20"/>
                      <w:szCs w:val="20"/>
                    </w:rPr>
                  </w:pPr>
                </w:p>
              </w:tc>
              <w:tc>
                <w:tcPr>
                  <w:tcW w:w="5389" w:type="dxa"/>
                  <w:vMerge/>
                </w:tcPr>
                <w:p w14:paraId="5134A3B9" w14:textId="5C94CA51" w:rsidR="00A927BD" w:rsidRPr="004F1589" w:rsidRDefault="00A927BD" w:rsidP="00E449A0">
                  <w:pPr>
                    <w:pStyle w:val="BodyText"/>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b/>
                      <w:bCs/>
                      <w:color w:val="4A442A" w:themeColor="background2" w:themeShade="40"/>
                    </w:rPr>
                  </w:pPr>
                </w:p>
              </w:tc>
            </w:tr>
            <w:tr w:rsidR="004F1589" w:rsidRPr="004F1589" w14:paraId="0BCB4F57" w14:textId="77777777" w:rsidTr="00737820">
              <w:trPr>
                <w:trHeight w:val="1833"/>
              </w:trPr>
              <w:tc>
                <w:tcPr>
                  <w:cnfStyle w:val="001000000000" w:firstRow="0" w:lastRow="0" w:firstColumn="1" w:lastColumn="0" w:oddVBand="0" w:evenVBand="0" w:oddHBand="0" w:evenHBand="0" w:firstRowFirstColumn="0" w:firstRowLastColumn="0" w:lastRowFirstColumn="0" w:lastRowLastColumn="0"/>
                  <w:tcW w:w="4037" w:type="dxa"/>
                </w:tcPr>
                <w:p w14:paraId="2DFEBCDD" w14:textId="1159C13C" w:rsidR="00E449A0" w:rsidRDefault="00E449A0" w:rsidP="00E449A0">
                  <w:pPr>
                    <w:jc w:val="both"/>
                    <w:rPr>
                      <w:rFonts w:ascii="Cambria" w:eastAsia="Palatino Linotype" w:hAnsi="Cambria" w:cs="Palatino Linotype"/>
                      <w:color w:val="4A442A" w:themeColor="background2" w:themeShade="40"/>
                      <w:sz w:val="20"/>
                      <w:szCs w:val="20"/>
                    </w:rPr>
                  </w:pPr>
                  <w:r w:rsidRPr="00E6571A">
                    <w:rPr>
                      <w:rFonts w:ascii="Cambria" w:eastAsia="Palatino Linotype" w:hAnsi="Cambria" w:cs="Palatino Linotype"/>
                      <w:b/>
                      <w:bCs/>
                      <w:i w:val="0"/>
                      <w:iCs w:val="0"/>
                      <w:color w:val="4A442A" w:themeColor="background2" w:themeShade="40"/>
                      <w:sz w:val="20"/>
                      <w:szCs w:val="20"/>
                    </w:rPr>
                    <w:t>How to cite this article:</w:t>
                  </w:r>
                  <w:r w:rsidRPr="004F1589">
                    <w:rPr>
                      <w:rFonts w:ascii="Cambria" w:eastAsia="Palatino Linotype" w:hAnsi="Cambria" w:cs="Palatino Linotype"/>
                      <w:i w:val="0"/>
                      <w:iCs w:val="0"/>
                      <w:color w:val="4A442A" w:themeColor="background2" w:themeShade="40"/>
                      <w:sz w:val="20"/>
                      <w:szCs w:val="20"/>
                    </w:rPr>
                    <w:t xml:space="preserve"> </w:t>
                  </w:r>
                  <w:r w:rsidR="00A61BEB" w:rsidRPr="00A61BEB">
                    <w:rPr>
                      <w:rFonts w:ascii="Cambria" w:eastAsia="Palatino Linotype" w:hAnsi="Cambria" w:cs="Palatino Linotype"/>
                      <w:i w:val="0"/>
                      <w:iCs w:val="0"/>
                      <w:color w:val="4A442A" w:themeColor="background2" w:themeShade="40"/>
                      <w:sz w:val="20"/>
                      <w:szCs w:val="20"/>
                    </w:rPr>
                    <w:t>Ashutosh Verma</w:t>
                  </w:r>
                  <w:r w:rsidR="004328BA" w:rsidRPr="004328BA">
                    <w:rPr>
                      <w:rFonts w:ascii="Cambria" w:eastAsia="Palatino Linotype" w:hAnsi="Cambria" w:cs="Palatino Linotype"/>
                      <w:i w:val="0"/>
                      <w:iCs w:val="0"/>
                      <w:color w:val="4A442A" w:themeColor="background2" w:themeShade="40"/>
                      <w:sz w:val="20"/>
                      <w:szCs w:val="20"/>
                    </w:rPr>
                    <w:t xml:space="preserve">, et al. </w:t>
                  </w:r>
                  <w:r w:rsidR="00A61BEB" w:rsidRPr="00A61BEB">
                    <w:rPr>
                      <w:rFonts w:ascii="Cambria" w:eastAsia="Palatino Linotype" w:hAnsi="Cambria" w:cs="Palatino Linotype"/>
                      <w:i w:val="0"/>
                      <w:iCs w:val="0"/>
                      <w:color w:val="4A442A" w:themeColor="background2" w:themeShade="40"/>
                      <w:sz w:val="20"/>
                      <w:szCs w:val="20"/>
                    </w:rPr>
                    <w:t>A Study on Consequences of Geopolitical Disturbances as an Impact on Indian International Trade</w:t>
                  </w:r>
                  <w:r w:rsidR="004328BA" w:rsidRPr="004328BA">
                    <w:rPr>
                      <w:rFonts w:ascii="Cambria" w:eastAsia="Palatino Linotype" w:hAnsi="Cambria" w:cs="Palatino Linotype"/>
                      <w:i w:val="0"/>
                      <w:iCs w:val="0"/>
                      <w:color w:val="4A442A" w:themeColor="background2" w:themeShade="40"/>
                      <w:sz w:val="20"/>
                      <w:szCs w:val="20"/>
                    </w:rPr>
                    <w:t>. 2025;6(1):</w:t>
                  </w:r>
                  <w:r w:rsidR="00954E31">
                    <w:rPr>
                      <w:rFonts w:ascii="Cambria" w:eastAsia="Palatino Linotype" w:hAnsi="Cambria" w:cs="Palatino Linotype"/>
                      <w:i w:val="0"/>
                      <w:iCs w:val="0"/>
                      <w:color w:val="4A442A" w:themeColor="background2" w:themeShade="40"/>
                      <w:sz w:val="20"/>
                      <w:szCs w:val="20"/>
                    </w:rPr>
                    <w:t>652</w:t>
                  </w:r>
                  <w:r w:rsidR="004328BA" w:rsidRPr="004328BA">
                    <w:rPr>
                      <w:rFonts w:ascii="Cambria" w:eastAsia="Palatino Linotype" w:hAnsi="Cambria" w:cs="Palatino Linotype"/>
                      <w:i w:val="0"/>
                      <w:iCs w:val="0"/>
                      <w:color w:val="4A442A" w:themeColor="background2" w:themeShade="40"/>
                      <w:sz w:val="20"/>
                      <w:szCs w:val="20"/>
                    </w:rPr>
                    <w:t>-</w:t>
                  </w:r>
                  <w:r w:rsidR="00954E31">
                    <w:rPr>
                      <w:rFonts w:ascii="Cambria" w:eastAsia="Palatino Linotype" w:hAnsi="Cambria" w:cs="Palatino Linotype"/>
                      <w:i w:val="0"/>
                      <w:iCs w:val="0"/>
                      <w:color w:val="4A442A" w:themeColor="background2" w:themeShade="40"/>
                      <w:sz w:val="20"/>
                      <w:szCs w:val="20"/>
                    </w:rPr>
                    <w:t>660</w:t>
                  </w:r>
                </w:p>
                <w:p w14:paraId="3FDB0BDE" w14:textId="77777777" w:rsidR="003A7772" w:rsidRDefault="003A7772" w:rsidP="00E449A0">
                  <w:pPr>
                    <w:jc w:val="both"/>
                    <w:rPr>
                      <w:rFonts w:ascii="Cambria" w:eastAsia="Palatino Linotype" w:hAnsi="Cambria" w:cs="Palatino Linotype"/>
                      <w:b/>
                      <w:color w:val="4A442A" w:themeColor="background2" w:themeShade="40"/>
                      <w:sz w:val="20"/>
                      <w:szCs w:val="20"/>
                    </w:rPr>
                  </w:pPr>
                </w:p>
                <w:p w14:paraId="51630968" w14:textId="1A309B40" w:rsidR="003A7772" w:rsidRPr="00565411" w:rsidRDefault="003A7772" w:rsidP="003A7772">
                  <w:pPr>
                    <w:jc w:val="both"/>
                    <w:rPr>
                      <w:rFonts w:ascii="Cambria" w:eastAsia="Palatino Linotype" w:hAnsi="Cambria" w:cs="Palatino Linotype"/>
                      <w:color w:val="4A442A" w:themeColor="background2" w:themeShade="40"/>
                      <w:sz w:val="20"/>
                      <w:szCs w:val="20"/>
                    </w:rPr>
                  </w:pPr>
                  <w:r w:rsidRPr="003A7772">
                    <w:rPr>
                      <w:rFonts w:ascii="Cambria" w:eastAsia="Palatino Linotype" w:hAnsi="Cambria" w:cs="Palatino Linotype"/>
                      <w:b/>
                      <w:bCs/>
                      <w:i w:val="0"/>
                      <w:iCs w:val="0"/>
                      <w:color w:val="4A442A" w:themeColor="background2" w:themeShade="40"/>
                      <w:sz w:val="20"/>
                      <w:szCs w:val="20"/>
                    </w:rPr>
                    <w:t>Received</w:t>
                  </w:r>
                  <w:r w:rsidRPr="00565411">
                    <w:rPr>
                      <w:rFonts w:ascii="Cambria" w:eastAsia="Palatino Linotype" w:hAnsi="Cambria" w:cs="Palatino Linotype"/>
                      <w:color w:val="4A442A" w:themeColor="background2" w:themeShade="40"/>
                      <w:sz w:val="20"/>
                      <w:szCs w:val="20"/>
                    </w:rPr>
                    <w:t xml:space="preserve">: </w:t>
                  </w:r>
                  <w:r w:rsidR="00334908">
                    <w:rPr>
                      <w:rFonts w:ascii="Cambria" w:eastAsia="Palatino Linotype" w:hAnsi="Cambria" w:cs="Palatino Linotype"/>
                      <w:color w:val="4A442A" w:themeColor="background2" w:themeShade="40"/>
                      <w:sz w:val="20"/>
                      <w:szCs w:val="20"/>
                    </w:rPr>
                    <w:t>02</w:t>
                  </w:r>
                  <w:r w:rsidRPr="00565411">
                    <w:rPr>
                      <w:rFonts w:ascii="Cambria" w:eastAsia="Palatino Linotype" w:hAnsi="Cambria" w:cs="Palatino Linotype"/>
                      <w:color w:val="4A442A" w:themeColor="background2" w:themeShade="40"/>
                      <w:sz w:val="20"/>
                      <w:szCs w:val="20"/>
                    </w:rPr>
                    <w:t>-</w:t>
                  </w:r>
                  <w:r>
                    <w:rPr>
                      <w:rFonts w:ascii="Cambria" w:eastAsia="Palatino Linotype" w:hAnsi="Cambria" w:cs="Palatino Linotype"/>
                      <w:color w:val="4A442A" w:themeColor="background2" w:themeShade="40"/>
                      <w:sz w:val="20"/>
                      <w:szCs w:val="20"/>
                    </w:rPr>
                    <w:t>0</w:t>
                  </w:r>
                  <w:r w:rsidR="00334908">
                    <w:rPr>
                      <w:rFonts w:ascii="Cambria" w:eastAsia="Palatino Linotype" w:hAnsi="Cambria" w:cs="Palatino Linotype"/>
                      <w:color w:val="4A442A" w:themeColor="background2" w:themeShade="40"/>
                      <w:sz w:val="20"/>
                      <w:szCs w:val="20"/>
                    </w:rPr>
                    <w:t>9</w:t>
                  </w:r>
                  <w:r w:rsidRPr="00565411">
                    <w:rPr>
                      <w:rFonts w:ascii="Cambria" w:eastAsia="Palatino Linotype" w:hAnsi="Cambria" w:cs="Palatino Linotype"/>
                      <w:color w:val="4A442A" w:themeColor="background2" w:themeShade="40"/>
                      <w:sz w:val="20"/>
                      <w:szCs w:val="20"/>
                    </w:rPr>
                    <w:t>-20</w:t>
                  </w:r>
                  <w:r>
                    <w:rPr>
                      <w:rFonts w:ascii="Cambria" w:eastAsia="Palatino Linotype" w:hAnsi="Cambria" w:cs="Palatino Linotype"/>
                      <w:color w:val="4A442A" w:themeColor="background2" w:themeShade="40"/>
                      <w:sz w:val="20"/>
                      <w:szCs w:val="20"/>
                    </w:rPr>
                    <w:t>25</w:t>
                  </w:r>
                </w:p>
                <w:p w14:paraId="5F6CB8BD" w14:textId="5D756F5D" w:rsidR="003A7772" w:rsidRPr="00565411" w:rsidRDefault="003A7772" w:rsidP="003A7772">
                  <w:pPr>
                    <w:jc w:val="both"/>
                    <w:rPr>
                      <w:rFonts w:ascii="Cambria" w:eastAsia="Palatino Linotype" w:hAnsi="Cambria" w:cs="Palatino Linotype"/>
                      <w:color w:val="4A442A" w:themeColor="background2" w:themeShade="40"/>
                      <w:sz w:val="20"/>
                      <w:szCs w:val="20"/>
                    </w:rPr>
                  </w:pPr>
                  <w:r w:rsidRPr="003A7772">
                    <w:rPr>
                      <w:rFonts w:ascii="Cambria" w:eastAsia="Palatino Linotype" w:hAnsi="Cambria" w:cs="Palatino Linotype"/>
                      <w:b/>
                      <w:bCs/>
                      <w:i w:val="0"/>
                      <w:iCs w:val="0"/>
                      <w:color w:val="4A442A" w:themeColor="background2" w:themeShade="40"/>
                      <w:sz w:val="20"/>
                      <w:szCs w:val="20"/>
                    </w:rPr>
                    <w:t>Revised</w:t>
                  </w:r>
                  <w:r w:rsidRPr="00565411">
                    <w:rPr>
                      <w:rFonts w:ascii="Cambria" w:eastAsia="Palatino Linotype" w:hAnsi="Cambria" w:cs="Palatino Linotype"/>
                      <w:color w:val="4A442A" w:themeColor="background2" w:themeShade="40"/>
                      <w:sz w:val="20"/>
                      <w:szCs w:val="20"/>
                    </w:rPr>
                    <w:t xml:space="preserve">:    </w:t>
                  </w:r>
                  <w:r w:rsidR="00334908">
                    <w:rPr>
                      <w:rFonts w:ascii="Cambria" w:eastAsia="Palatino Linotype" w:hAnsi="Cambria" w:cs="Palatino Linotype"/>
                      <w:color w:val="4A442A" w:themeColor="background2" w:themeShade="40"/>
                      <w:sz w:val="20"/>
                      <w:szCs w:val="20"/>
                    </w:rPr>
                    <w:t>21</w:t>
                  </w:r>
                  <w:r w:rsidRPr="00565411">
                    <w:rPr>
                      <w:rFonts w:ascii="Cambria" w:eastAsia="Palatino Linotype" w:hAnsi="Cambria" w:cs="Palatino Linotype"/>
                      <w:color w:val="4A442A" w:themeColor="background2" w:themeShade="40"/>
                      <w:sz w:val="20"/>
                      <w:szCs w:val="20"/>
                    </w:rPr>
                    <w:t>-</w:t>
                  </w:r>
                  <w:r>
                    <w:rPr>
                      <w:rFonts w:ascii="Cambria" w:eastAsia="Palatino Linotype" w:hAnsi="Cambria" w:cs="Palatino Linotype"/>
                      <w:color w:val="4A442A" w:themeColor="background2" w:themeShade="40"/>
                      <w:sz w:val="20"/>
                      <w:szCs w:val="20"/>
                    </w:rPr>
                    <w:t>0</w:t>
                  </w:r>
                  <w:r w:rsidR="00334908">
                    <w:rPr>
                      <w:rFonts w:ascii="Cambria" w:eastAsia="Palatino Linotype" w:hAnsi="Cambria" w:cs="Palatino Linotype"/>
                      <w:color w:val="4A442A" w:themeColor="background2" w:themeShade="40"/>
                      <w:sz w:val="20"/>
                      <w:szCs w:val="20"/>
                    </w:rPr>
                    <w:t>9</w:t>
                  </w:r>
                  <w:r w:rsidRPr="00565411">
                    <w:rPr>
                      <w:rFonts w:ascii="Cambria" w:eastAsia="Palatino Linotype" w:hAnsi="Cambria" w:cs="Palatino Linotype"/>
                      <w:color w:val="4A442A" w:themeColor="background2" w:themeShade="40"/>
                      <w:sz w:val="20"/>
                      <w:szCs w:val="20"/>
                    </w:rPr>
                    <w:t>-20</w:t>
                  </w:r>
                  <w:r>
                    <w:rPr>
                      <w:rFonts w:ascii="Cambria" w:eastAsia="Palatino Linotype" w:hAnsi="Cambria" w:cs="Palatino Linotype"/>
                      <w:color w:val="4A442A" w:themeColor="background2" w:themeShade="40"/>
                      <w:sz w:val="20"/>
                      <w:szCs w:val="20"/>
                    </w:rPr>
                    <w:t>25</w:t>
                  </w:r>
                </w:p>
                <w:p w14:paraId="68F82252" w14:textId="5B635970" w:rsidR="003A7772" w:rsidRPr="00565411" w:rsidRDefault="003A7772" w:rsidP="003A7772">
                  <w:pPr>
                    <w:jc w:val="both"/>
                    <w:rPr>
                      <w:rFonts w:ascii="Cambria" w:eastAsia="Palatino Linotype" w:hAnsi="Cambria" w:cs="Palatino Linotype"/>
                      <w:color w:val="4A442A" w:themeColor="background2" w:themeShade="40"/>
                      <w:sz w:val="20"/>
                      <w:szCs w:val="20"/>
                    </w:rPr>
                  </w:pPr>
                  <w:r w:rsidRPr="003A7772">
                    <w:rPr>
                      <w:rFonts w:ascii="Cambria" w:eastAsia="Palatino Linotype" w:hAnsi="Cambria" w:cs="Palatino Linotype"/>
                      <w:b/>
                      <w:bCs/>
                      <w:i w:val="0"/>
                      <w:iCs w:val="0"/>
                      <w:color w:val="4A442A" w:themeColor="background2" w:themeShade="40"/>
                      <w:sz w:val="20"/>
                      <w:szCs w:val="20"/>
                    </w:rPr>
                    <w:t>Accepted</w:t>
                  </w:r>
                  <w:r w:rsidRPr="00565411">
                    <w:rPr>
                      <w:rFonts w:ascii="Cambria" w:eastAsia="Palatino Linotype" w:hAnsi="Cambria" w:cs="Palatino Linotype"/>
                      <w:color w:val="4A442A" w:themeColor="background2" w:themeShade="40"/>
                      <w:sz w:val="20"/>
                      <w:szCs w:val="20"/>
                    </w:rPr>
                    <w:t xml:space="preserve">:  </w:t>
                  </w:r>
                  <w:r w:rsidR="00334908">
                    <w:rPr>
                      <w:rFonts w:ascii="Cambria" w:eastAsia="Palatino Linotype" w:hAnsi="Cambria" w:cs="Palatino Linotype"/>
                      <w:color w:val="4A442A" w:themeColor="background2" w:themeShade="40"/>
                      <w:sz w:val="20"/>
                      <w:szCs w:val="20"/>
                    </w:rPr>
                    <w:t>14</w:t>
                  </w:r>
                  <w:r w:rsidRPr="00565411">
                    <w:rPr>
                      <w:rFonts w:ascii="Cambria" w:eastAsia="Palatino Linotype" w:hAnsi="Cambria" w:cs="Palatino Linotype"/>
                      <w:color w:val="4A442A" w:themeColor="background2" w:themeShade="40"/>
                      <w:sz w:val="20"/>
                      <w:szCs w:val="20"/>
                    </w:rPr>
                    <w:t>-</w:t>
                  </w:r>
                  <w:r w:rsidR="00334908">
                    <w:rPr>
                      <w:rFonts w:ascii="Cambria" w:eastAsia="Palatino Linotype" w:hAnsi="Cambria" w:cs="Palatino Linotype"/>
                      <w:color w:val="4A442A" w:themeColor="background2" w:themeShade="40"/>
                      <w:sz w:val="20"/>
                      <w:szCs w:val="20"/>
                    </w:rPr>
                    <w:t>10</w:t>
                  </w:r>
                  <w:r w:rsidRPr="00565411">
                    <w:rPr>
                      <w:rFonts w:ascii="Cambria" w:eastAsia="Palatino Linotype" w:hAnsi="Cambria" w:cs="Palatino Linotype"/>
                      <w:color w:val="4A442A" w:themeColor="background2" w:themeShade="40"/>
                      <w:sz w:val="20"/>
                      <w:szCs w:val="20"/>
                    </w:rPr>
                    <w:t>-20</w:t>
                  </w:r>
                  <w:r>
                    <w:rPr>
                      <w:rFonts w:ascii="Cambria" w:eastAsia="Palatino Linotype" w:hAnsi="Cambria" w:cs="Palatino Linotype"/>
                      <w:color w:val="4A442A" w:themeColor="background2" w:themeShade="40"/>
                      <w:sz w:val="20"/>
                      <w:szCs w:val="20"/>
                    </w:rPr>
                    <w:t>25</w:t>
                  </w:r>
                </w:p>
                <w:p w14:paraId="124980B4" w14:textId="2FACF171" w:rsidR="003A7772" w:rsidRDefault="003A7772" w:rsidP="003A7772">
                  <w:pPr>
                    <w:jc w:val="both"/>
                    <w:rPr>
                      <w:rFonts w:ascii="Cambria" w:eastAsia="Palatino Linotype" w:hAnsi="Cambria" w:cs="Palatino Linotype"/>
                      <w:color w:val="4A442A" w:themeColor="background2" w:themeShade="40"/>
                      <w:sz w:val="20"/>
                      <w:szCs w:val="20"/>
                    </w:rPr>
                  </w:pPr>
                  <w:r w:rsidRPr="003A7772">
                    <w:rPr>
                      <w:rFonts w:ascii="Cambria" w:eastAsia="Palatino Linotype" w:hAnsi="Cambria" w:cs="Palatino Linotype"/>
                      <w:b/>
                      <w:bCs/>
                      <w:i w:val="0"/>
                      <w:iCs w:val="0"/>
                      <w:color w:val="4A442A" w:themeColor="background2" w:themeShade="40"/>
                      <w:sz w:val="20"/>
                      <w:szCs w:val="20"/>
                    </w:rPr>
                    <w:t>Published</w:t>
                  </w:r>
                  <w:r w:rsidRPr="00565411">
                    <w:rPr>
                      <w:rFonts w:ascii="Cambria" w:eastAsia="Palatino Linotype" w:hAnsi="Cambria" w:cs="Palatino Linotype"/>
                      <w:color w:val="4A442A" w:themeColor="background2" w:themeShade="40"/>
                      <w:sz w:val="20"/>
                      <w:szCs w:val="20"/>
                    </w:rPr>
                    <w:t xml:space="preserve">: </w:t>
                  </w:r>
                  <w:r w:rsidR="00334908">
                    <w:rPr>
                      <w:rFonts w:ascii="Cambria" w:eastAsia="Palatino Linotype" w:hAnsi="Cambria" w:cs="Palatino Linotype"/>
                      <w:color w:val="4A442A" w:themeColor="background2" w:themeShade="40"/>
                      <w:sz w:val="20"/>
                      <w:szCs w:val="20"/>
                    </w:rPr>
                    <w:t>31</w:t>
                  </w:r>
                  <w:r w:rsidRPr="00565411">
                    <w:rPr>
                      <w:rFonts w:ascii="Cambria" w:eastAsia="Palatino Linotype" w:hAnsi="Cambria" w:cs="Palatino Linotype"/>
                      <w:color w:val="4A442A" w:themeColor="background2" w:themeShade="40"/>
                      <w:sz w:val="20"/>
                      <w:szCs w:val="20"/>
                    </w:rPr>
                    <w:t>-</w:t>
                  </w:r>
                  <w:r w:rsidR="00334908">
                    <w:rPr>
                      <w:rFonts w:ascii="Cambria" w:eastAsia="Palatino Linotype" w:hAnsi="Cambria" w:cs="Palatino Linotype"/>
                      <w:color w:val="4A442A" w:themeColor="background2" w:themeShade="40"/>
                      <w:sz w:val="20"/>
                      <w:szCs w:val="20"/>
                    </w:rPr>
                    <w:t>10</w:t>
                  </w:r>
                  <w:r w:rsidRPr="00565411">
                    <w:rPr>
                      <w:rFonts w:ascii="Cambria" w:eastAsia="Palatino Linotype" w:hAnsi="Cambria" w:cs="Palatino Linotype"/>
                      <w:color w:val="4A442A" w:themeColor="background2" w:themeShade="40"/>
                      <w:sz w:val="20"/>
                      <w:szCs w:val="20"/>
                    </w:rPr>
                    <w:t>-20</w:t>
                  </w:r>
                  <w:r>
                    <w:rPr>
                      <w:rFonts w:ascii="Cambria" w:eastAsia="Palatino Linotype" w:hAnsi="Cambria" w:cs="Palatino Linotype"/>
                      <w:color w:val="4A442A" w:themeColor="background2" w:themeShade="40"/>
                      <w:sz w:val="20"/>
                      <w:szCs w:val="20"/>
                    </w:rPr>
                    <w:t>25</w:t>
                  </w:r>
                </w:p>
                <w:p w14:paraId="02A9F5C3" w14:textId="18E12E98" w:rsidR="003A7772" w:rsidRPr="004F1589" w:rsidRDefault="003A7772" w:rsidP="00E449A0">
                  <w:pPr>
                    <w:jc w:val="both"/>
                    <w:rPr>
                      <w:rFonts w:ascii="Cambria" w:eastAsia="Palatino Linotype" w:hAnsi="Cambria" w:cs="Palatino Linotype"/>
                      <w:b/>
                      <w:i w:val="0"/>
                      <w:iCs w:val="0"/>
                      <w:color w:val="4A442A" w:themeColor="background2" w:themeShade="40"/>
                      <w:sz w:val="20"/>
                      <w:szCs w:val="20"/>
                    </w:rPr>
                  </w:pPr>
                </w:p>
              </w:tc>
              <w:tc>
                <w:tcPr>
                  <w:tcW w:w="5389" w:type="dxa"/>
                  <w:vMerge/>
                </w:tcPr>
                <w:p w14:paraId="4D45DA0F" w14:textId="77777777" w:rsidR="00E449A0" w:rsidRPr="004F1589" w:rsidRDefault="00E449A0" w:rsidP="00E449A0">
                  <w:pPr>
                    <w:pStyle w:val="BodyText"/>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b/>
                      <w:bCs/>
                      <w:color w:val="4A442A" w:themeColor="background2" w:themeShade="40"/>
                    </w:rPr>
                  </w:pPr>
                </w:p>
              </w:tc>
            </w:tr>
            <w:tr w:rsidR="004F1589" w:rsidRPr="004F1589" w14:paraId="68AD90E6" w14:textId="77777777" w:rsidTr="00737820">
              <w:trPr>
                <w:cnfStyle w:val="000000100000" w:firstRow="0" w:lastRow="0" w:firstColumn="0" w:lastColumn="0" w:oddVBand="0" w:evenVBand="0" w:oddHBand="1" w:evenHBand="0" w:firstRowFirstColumn="0" w:firstRowLastColumn="0" w:lastRowFirstColumn="0" w:lastRowLastColumn="0"/>
                <w:trHeight w:val="972"/>
              </w:trPr>
              <w:tc>
                <w:tcPr>
                  <w:cnfStyle w:val="001000000000" w:firstRow="0" w:lastRow="0" w:firstColumn="1" w:lastColumn="0" w:oddVBand="0" w:evenVBand="0" w:oddHBand="0" w:evenHBand="0" w:firstRowFirstColumn="0" w:firstRowLastColumn="0" w:lastRowFirstColumn="0" w:lastRowLastColumn="0"/>
                  <w:tcW w:w="4037" w:type="dxa"/>
                </w:tcPr>
                <w:p w14:paraId="75552741" w14:textId="4732A940" w:rsidR="00A927BD" w:rsidRPr="00E6571A" w:rsidRDefault="00E6571A" w:rsidP="00E6571A">
                  <w:pPr>
                    <w:ind w:right="169"/>
                    <w:jc w:val="both"/>
                    <w:outlineLvl w:val="1"/>
                    <w:rPr>
                      <w:rFonts w:ascii="Cambria" w:eastAsia="Palatino Linotype" w:hAnsi="Cambria" w:cs="Palatino Linotype"/>
                      <w:i w:val="0"/>
                      <w:iCs w:val="0"/>
                      <w:color w:val="4A442A" w:themeColor="background2" w:themeShade="40"/>
                      <w:sz w:val="16"/>
                      <w:szCs w:val="16"/>
                    </w:rPr>
                  </w:pPr>
                  <w:r w:rsidRPr="00E6571A">
                    <w:rPr>
                      <w:rFonts w:ascii="Cambria" w:eastAsia="Palatino Linotype" w:hAnsi="Cambria" w:cs="Palatino Linotype"/>
                      <w:color w:val="4A442A" w:themeColor="background2" w:themeShade="40"/>
                      <w:sz w:val="16"/>
                      <w:szCs w:val="16"/>
                    </w:rPr>
                    <w:t>©202</w:t>
                  </w:r>
                  <w:r w:rsidR="003A7772">
                    <w:rPr>
                      <w:rFonts w:ascii="Cambria" w:eastAsia="Palatino Linotype" w:hAnsi="Cambria" w:cs="Palatino Linotype"/>
                      <w:color w:val="4A442A" w:themeColor="background2" w:themeShade="40"/>
                      <w:sz w:val="16"/>
                      <w:szCs w:val="16"/>
                    </w:rPr>
                    <w:t>5</w:t>
                  </w:r>
                  <w:r w:rsidRPr="00E6571A">
                    <w:rPr>
                      <w:rFonts w:ascii="Cambria" w:eastAsia="Palatino Linotype" w:hAnsi="Cambria" w:cs="Palatino Linotype"/>
                      <w:color w:val="4A442A" w:themeColor="background2" w:themeShade="40"/>
                      <w:sz w:val="16"/>
                      <w:szCs w:val="16"/>
                    </w:rPr>
                    <w:t xml:space="preserve"> the Author(s). This is an open access article distributed under the terms of the Creative Commons Attribution License (http://creativecommons.org/licenses/by/4.0</w:t>
                  </w:r>
                </w:p>
              </w:tc>
              <w:tc>
                <w:tcPr>
                  <w:tcW w:w="5389" w:type="dxa"/>
                  <w:vMerge/>
                </w:tcPr>
                <w:p w14:paraId="5ECFE5BE" w14:textId="520A0CEA" w:rsidR="00A927BD" w:rsidRPr="004F1589" w:rsidRDefault="00A927BD" w:rsidP="00E449A0">
                  <w:pPr>
                    <w:pStyle w:val="BodyText"/>
                    <w:jc w:val="right"/>
                    <w:cnfStyle w:val="000000100000" w:firstRow="0" w:lastRow="0" w:firstColumn="0" w:lastColumn="0" w:oddVBand="0" w:evenVBand="0" w:oddHBand="1" w:evenHBand="0" w:firstRowFirstColumn="0" w:firstRowLastColumn="0" w:lastRowFirstColumn="0" w:lastRowLastColumn="0"/>
                    <w:rPr>
                      <w:rFonts w:ascii="Cambria" w:hAnsi="Cambria"/>
                      <w:color w:val="4A442A" w:themeColor="background2" w:themeShade="40"/>
                      <w:sz w:val="20"/>
                      <w:szCs w:val="20"/>
                    </w:rPr>
                  </w:pPr>
                </w:p>
              </w:tc>
            </w:tr>
          </w:tbl>
          <w:p w14:paraId="287E6D03" w14:textId="77777777" w:rsidR="00A35323" w:rsidRPr="00A35323" w:rsidRDefault="00A35323" w:rsidP="00141C49">
            <w:pPr>
              <w:rPr>
                <w:rFonts w:ascii="Cambria" w:eastAsia="Cambria" w:hAnsi="Cambria" w:cs="Cambria"/>
                <w:b/>
                <w:bCs/>
                <w:sz w:val="18"/>
              </w:rPr>
            </w:pPr>
          </w:p>
        </w:tc>
      </w:tr>
      <w:bookmarkEnd w:id="0"/>
      <w:bookmarkEnd w:id="1"/>
    </w:tbl>
    <w:p w14:paraId="4BFE3F50" w14:textId="77777777" w:rsidR="00E449A0" w:rsidRDefault="00E449A0" w:rsidP="00A35323">
      <w:pPr>
        <w:pStyle w:val="Heading1"/>
        <w:ind w:left="0"/>
        <w:jc w:val="both"/>
        <w:rPr>
          <w:sz w:val="20"/>
          <w:szCs w:val="20"/>
        </w:rPr>
      </w:pPr>
    </w:p>
    <w:p w14:paraId="10C0DDBB" w14:textId="77777777" w:rsidR="00325CF9" w:rsidRDefault="00325CF9" w:rsidP="00A35323">
      <w:pPr>
        <w:pStyle w:val="Heading1"/>
        <w:ind w:left="0"/>
        <w:jc w:val="both"/>
        <w:sectPr w:rsidR="00325CF9" w:rsidSect="00333D62">
          <w:headerReference w:type="default" r:id="rId8"/>
          <w:footerReference w:type="default" r:id="rId9"/>
          <w:headerReference w:type="first" r:id="rId10"/>
          <w:footerReference w:type="first" r:id="rId11"/>
          <w:pgSz w:w="11910" w:h="16840" w:code="9"/>
          <w:pgMar w:top="1440" w:right="1080" w:bottom="1440" w:left="1080" w:header="567" w:footer="822" w:gutter="0"/>
          <w:pgNumType w:start="652"/>
          <w:cols w:space="720"/>
          <w:titlePg/>
          <w:docGrid w:linePitch="299"/>
        </w:sectPr>
      </w:pPr>
    </w:p>
    <w:p w14:paraId="659C2DE2" w14:textId="3F30BE38" w:rsidR="003525FF" w:rsidRPr="005F4A90" w:rsidRDefault="00A35323" w:rsidP="00A35323">
      <w:pPr>
        <w:pStyle w:val="Heading1"/>
        <w:ind w:left="0"/>
        <w:jc w:val="both"/>
      </w:pPr>
      <w:r w:rsidRPr="005F4A90">
        <w:t>INTRODUCTION</w:t>
      </w:r>
    </w:p>
    <w:p w14:paraId="4063215F" w14:textId="77777777" w:rsid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The current global economy is based on the smooth international flow of capital, technology, goods, and services. However, geopolitical disturbances—complex political situations and wars that go outside </w:t>
      </w:r>
      <w:r w:rsidRPr="00A61BEB">
        <w:rPr>
          <w:rFonts w:ascii="Cambria" w:hAnsi="Cambria"/>
          <w:sz w:val="20"/>
          <w:szCs w:val="20"/>
        </w:rPr>
        <w:t xml:space="preserve">country boundaries and impact global relationships and financial stability—often disturb this complex network of trade. Government officials, analysts, and executives in business who want to negotiate the difficulties and uncertainties of the modern global </w:t>
      </w:r>
      <w:r w:rsidRPr="00A61BEB">
        <w:rPr>
          <w:rFonts w:ascii="Cambria" w:hAnsi="Cambria"/>
          <w:sz w:val="20"/>
          <w:szCs w:val="20"/>
        </w:rPr>
        <w:lastRenderedPageBreak/>
        <w:t>environment have to understand how geopolitical revolutions and international trade intertwine.</w:t>
      </w:r>
    </w:p>
    <w:p w14:paraId="5A3DB90B" w14:textId="77777777" w:rsidR="006D4FF2" w:rsidRPr="00A61BEB" w:rsidRDefault="006D4FF2" w:rsidP="006D4FF2">
      <w:pPr>
        <w:widowControl/>
        <w:autoSpaceDE/>
        <w:autoSpaceDN/>
        <w:contextualSpacing/>
        <w:jc w:val="both"/>
        <w:rPr>
          <w:rFonts w:ascii="Cambria" w:hAnsi="Cambria"/>
          <w:sz w:val="20"/>
          <w:szCs w:val="20"/>
        </w:rPr>
      </w:pPr>
    </w:p>
    <w:p w14:paraId="360415AD" w14:textId="77777777" w:rsid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The term "geopolitical disturbances" refers to a wide variety of events, such as conflict over trade, international disagreements, boundary disputes, conflict between nations, penalties, and instability in politics. As finding in the previous studies, resource control, intellectual disagreements, strategic power dynamics, or the accomplishment of national goals frequently constitute the causes of these instances. These interruptions are the causes of potential challenges to upset established raise transaction costs, paths of trade, alter supply chains, and create uncertainty that hinders investment and economic cooperation.</w:t>
      </w:r>
    </w:p>
    <w:p w14:paraId="096D4662" w14:textId="77777777" w:rsidR="006D4FF2" w:rsidRPr="00A61BEB" w:rsidRDefault="006D4FF2" w:rsidP="006D4FF2">
      <w:pPr>
        <w:widowControl/>
        <w:autoSpaceDE/>
        <w:autoSpaceDN/>
        <w:contextualSpacing/>
        <w:jc w:val="both"/>
        <w:rPr>
          <w:rFonts w:ascii="Cambria" w:hAnsi="Cambria"/>
          <w:sz w:val="20"/>
          <w:szCs w:val="20"/>
        </w:rPr>
      </w:pPr>
    </w:p>
    <w:p w14:paraId="55C0515B" w14:textId="77777777" w:rsid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According to Raghuwanshi (2024), economic sanctions and trade restrictions implemented during the period of the Cold War forced the affected countries to seek out supply chains options, markets, and decreased trade between the industrialized nations. Meanwhile, according to (Singh et al., 2024) explained that disputes over trade between big nations like the US and China demonstrate how geopolitical competition could appear as export restrictions, taxes, and rules and regulations, which can lead to instability for consumers and companies worldwide.</w:t>
      </w:r>
    </w:p>
    <w:p w14:paraId="52EC7567" w14:textId="77777777" w:rsidR="006D4FF2" w:rsidRPr="00A61BEB" w:rsidRDefault="006D4FF2" w:rsidP="006D4FF2">
      <w:pPr>
        <w:widowControl/>
        <w:autoSpaceDE/>
        <w:autoSpaceDN/>
        <w:contextualSpacing/>
        <w:jc w:val="both"/>
        <w:rPr>
          <w:rFonts w:ascii="Cambria" w:hAnsi="Cambria"/>
          <w:sz w:val="20"/>
          <w:szCs w:val="20"/>
        </w:rPr>
      </w:pPr>
    </w:p>
    <w:p w14:paraId="4DFE0326" w14:textId="77777777" w:rsid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International trade has engaged in multinational trade, which is particularly vulnerable to micro-level changes in rules and regulations, shifting expenditures, and disturbances in supplier relationships. Although, geopolitical changes pose a threat to international trade because they have the potential to impact both the macro and micro economic settings. FDI (Foreign Direct Investment), Macroeconomic Growth Trajectories (MGT), and Trade Balances (TB) related problems may make it difficult for multilateral trade organizations which are operated by World Trade Organization (WTO). They may causes to exacerbate national inequality and erode the global market value of commodities.</w:t>
      </w:r>
    </w:p>
    <w:p w14:paraId="6683329D" w14:textId="77777777" w:rsidR="00613B06" w:rsidRPr="00A61BEB" w:rsidRDefault="00613B06" w:rsidP="006D4FF2">
      <w:pPr>
        <w:widowControl/>
        <w:autoSpaceDE/>
        <w:autoSpaceDN/>
        <w:contextualSpacing/>
        <w:jc w:val="both"/>
        <w:rPr>
          <w:rFonts w:ascii="Cambria" w:hAnsi="Cambria"/>
          <w:sz w:val="20"/>
          <w:szCs w:val="20"/>
        </w:rPr>
      </w:pPr>
    </w:p>
    <w:p w14:paraId="24CBA2A5" w14:textId="77777777" w:rsid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Some additional effects on businesses around the world could come from global issues over regions rich in resources, export restrictions, or barriers to vital waterways, or on essential raw commodities. It underlined that a dispersion of manufacturing procedures across the world as a result of globalization in manufacturing has led to complex supply chains that are vulnerable to instability in politics. </w:t>
      </w:r>
    </w:p>
    <w:p w14:paraId="1FA69E60" w14:textId="77777777" w:rsidR="006D4FF2" w:rsidRPr="00A61BEB" w:rsidRDefault="006D4FF2" w:rsidP="006D4FF2">
      <w:pPr>
        <w:widowControl/>
        <w:autoSpaceDE/>
        <w:autoSpaceDN/>
        <w:contextualSpacing/>
        <w:jc w:val="both"/>
        <w:rPr>
          <w:rFonts w:ascii="Cambria" w:hAnsi="Cambria"/>
          <w:sz w:val="20"/>
          <w:szCs w:val="20"/>
        </w:rPr>
      </w:pPr>
    </w:p>
    <w:p w14:paraId="332B659D" w14:textId="77777777" w:rsid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As a research study on previous relevant studies, it is found that to protect their control technology transfers, own economic sectors, and to protect the supply chain from alleged political dangers, and </w:t>
      </w:r>
      <w:r w:rsidRPr="00A61BEB">
        <w:rPr>
          <w:rFonts w:ascii="Cambria" w:hAnsi="Cambria"/>
          <w:sz w:val="20"/>
          <w:szCs w:val="20"/>
        </w:rPr>
        <w:t>nations are enacting an increasing number of laws. It can increase the financial national security and protectionism, which is another indication of the political climate transformation that has had an important influence on international business and trade. This outreaching up to the challenges of previous liberal trade orientation, promoted that the market accessibility and transnational communication, presenting serious concerns about the likely future of global trading management and the potential for new economic disintegration.</w:t>
      </w:r>
    </w:p>
    <w:p w14:paraId="3AFA7459" w14:textId="77777777" w:rsidR="006D4FF2" w:rsidRPr="00A61BEB" w:rsidRDefault="006D4FF2" w:rsidP="006D4FF2">
      <w:pPr>
        <w:widowControl/>
        <w:autoSpaceDE/>
        <w:autoSpaceDN/>
        <w:contextualSpacing/>
        <w:jc w:val="both"/>
        <w:rPr>
          <w:rFonts w:ascii="Cambria" w:hAnsi="Cambria"/>
          <w:sz w:val="20"/>
          <w:szCs w:val="20"/>
        </w:rPr>
      </w:pPr>
    </w:p>
    <w:p w14:paraId="22E6116D" w14:textId="77777777" w:rsid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According to the research study, purpose of exploring the complex relationship between changes in international trade and geopolitics, this study looks at important data from empirical studies. Important concerns like how various geopolitical disturbances impact patterns of trade and economic results are among the issues it intends to address. In order to mitigate the risks associated with international instability, which approaches do organizations and governments use? How have international economic relations and world trade governance developed as a result of geopolitical tensions? By addressing these issues, an in-depth awareness of the possibilities as well as challenges that geopolitical changes provide to global trade in the twenty-first century will be possible.</w:t>
      </w:r>
    </w:p>
    <w:p w14:paraId="159614F9" w14:textId="77777777" w:rsidR="006D4FF2" w:rsidRPr="00A61BEB" w:rsidRDefault="006D4FF2" w:rsidP="006D4FF2">
      <w:pPr>
        <w:widowControl/>
        <w:autoSpaceDE/>
        <w:autoSpaceDN/>
        <w:contextualSpacing/>
        <w:jc w:val="both"/>
        <w:rPr>
          <w:rFonts w:ascii="Cambria" w:hAnsi="Cambria"/>
          <w:sz w:val="20"/>
          <w:szCs w:val="20"/>
        </w:rPr>
      </w:pPr>
    </w:p>
    <w:p w14:paraId="6F3750D2" w14:textId="77777777" w:rsid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The consequences of international tensions and geopolitical rivalry extend outside traditional security issues to include economic and social aspects as the world economy grows more interconnected. To promote adaptability, security, and equitable development in a climate of uncertainty, policy choices and effective company behaviour must be based on an in-depth examination of the dynamics of geopolitical events and the impact they have on international trade.</w:t>
      </w:r>
    </w:p>
    <w:p w14:paraId="181C02D2" w14:textId="77777777" w:rsidR="006D4FF2" w:rsidRPr="00A61BEB" w:rsidRDefault="006D4FF2" w:rsidP="006D4FF2">
      <w:pPr>
        <w:widowControl/>
        <w:autoSpaceDE/>
        <w:autoSpaceDN/>
        <w:contextualSpacing/>
        <w:jc w:val="both"/>
        <w:rPr>
          <w:rFonts w:ascii="Cambria" w:hAnsi="Cambria"/>
          <w:sz w:val="20"/>
          <w:szCs w:val="20"/>
        </w:rPr>
      </w:pPr>
    </w:p>
    <w:p w14:paraId="38247A68" w14:textId="77777777" w:rsidR="00A61BEB" w:rsidRPr="006D4FF2" w:rsidRDefault="00A61BEB" w:rsidP="006D4FF2">
      <w:pPr>
        <w:widowControl/>
        <w:autoSpaceDE/>
        <w:autoSpaceDN/>
        <w:contextualSpacing/>
        <w:jc w:val="both"/>
        <w:rPr>
          <w:rFonts w:ascii="Cambria" w:hAnsi="Cambria"/>
          <w:b/>
          <w:bCs/>
          <w:sz w:val="20"/>
          <w:szCs w:val="20"/>
        </w:rPr>
      </w:pPr>
      <w:r w:rsidRPr="006D4FF2">
        <w:rPr>
          <w:rFonts w:ascii="Cambria" w:hAnsi="Cambria"/>
          <w:b/>
          <w:bCs/>
          <w:sz w:val="20"/>
          <w:szCs w:val="20"/>
        </w:rPr>
        <w:t>1.2 Objectives</w:t>
      </w:r>
    </w:p>
    <w:p w14:paraId="6A78B3D5" w14:textId="1FD48B6D" w:rsidR="00A61BEB" w:rsidRPr="006D4FF2" w:rsidRDefault="00A61BEB" w:rsidP="006D4FF2">
      <w:pPr>
        <w:pStyle w:val="ListParagraph"/>
        <w:widowControl/>
        <w:numPr>
          <w:ilvl w:val="0"/>
          <w:numId w:val="13"/>
        </w:numPr>
        <w:autoSpaceDE/>
        <w:autoSpaceDN/>
        <w:contextualSpacing/>
        <w:rPr>
          <w:rFonts w:ascii="Cambria" w:hAnsi="Cambria"/>
          <w:sz w:val="20"/>
          <w:szCs w:val="20"/>
        </w:rPr>
      </w:pPr>
      <w:r w:rsidRPr="006D4FF2">
        <w:rPr>
          <w:rFonts w:ascii="Cambria" w:hAnsi="Cambria"/>
          <w:sz w:val="20"/>
          <w:szCs w:val="20"/>
        </w:rPr>
        <w:t xml:space="preserve">Economic sanctions implemented as a foreign policy instrument can limit particular countries' access to markets. </w:t>
      </w:r>
    </w:p>
    <w:p w14:paraId="3397DA3B" w14:textId="426F4C5B" w:rsidR="00A61BEB" w:rsidRPr="006D4FF2" w:rsidRDefault="00A61BEB" w:rsidP="006D4FF2">
      <w:pPr>
        <w:pStyle w:val="ListParagraph"/>
        <w:widowControl/>
        <w:numPr>
          <w:ilvl w:val="0"/>
          <w:numId w:val="13"/>
        </w:numPr>
        <w:autoSpaceDE/>
        <w:autoSpaceDN/>
        <w:contextualSpacing/>
        <w:rPr>
          <w:rFonts w:ascii="Cambria" w:hAnsi="Cambria"/>
          <w:sz w:val="20"/>
          <w:szCs w:val="20"/>
        </w:rPr>
      </w:pPr>
      <w:r w:rsidRPr="006D4FF2">
        <w:rPr>
          <w:rFonts w:ascii="Cambria" w:hAnsi="Cambria"/>
          <w:sz w:val="20"/>
          <w:szCs w:val="20"/>
        </w:rPr>
        <w:t xml:space="preserve">To force companies to look for other trading partners or rearrange supply chains—often at greater costs. </w:t>
      </w:r>
    </w:p>
    <w:p w14:paraId="639BD9D4" w14:textId="77777777" w:rsidR="00A61BEB" w:rsidRP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 </w:t>
      </w:r>
    </w:p>
    <w:p w14:paraId="6D009665" w14:textId="2F41A4ED" w:rsidR="00A61BEB" w:rsidRPr="006D4FF2" w:rsidRDefault="006D4FF2" w:rsidP="006D4FF2">
      <w:pPr>
        <w:widowControl/>
        <w:autoSpaceDE/>
        <w:autoSpaceDN/>
        <w:contextualSpacing/>
        <w:jc w:val="both"/>
        <w:rPr>
          <w:rFonts w:ascii="Cambria" w:hAnsi="Cambria"/>
          <w:b/>
          <w:bCs/>
          <w:sz w:val="24"/>
          <w:szCs w:val="24"/>
        </w:rPr>
      </w:pPr>
      <w:r w:rsidRPr="006D4FF2">
        <w:rPr>
          <w:rFonts w:ascii="Cambria" w:hAnsi="Cambria"/>
          <w:b/>
          <w:bCs/>
          <w:sz w:val="24"/>
          <w:szCs w:val="24"/>
        </w:rPr>
        <w:t>REVIEWS OF LITERATURE</w:t>
      </w:r>
    </w:p>
    <w:p w14:paraId="0CE9E27F" w14:textId="6E53D74B" w:rsidR="00A61BEB" w:rsidRPr="006D4FF2" w:rsidRDefault="00A61BEB" w:rsidP="006D4FF2">
      <w:pPr>
        <w:widowControl/>
        <w:autoSpaceDE/>
        <w:autoSpaceDN/>
        <w:contextualSpacing/>
        <w:jc w:val="both"/>
        <w:rPr>
          <w:rFonts w:ascii="Cambria" w:hAnsi="Cambria"/>
          <w:b/>
          <w:bCs/>
          <w:sz w:val="20"/>
          <w:szCs w:val="20"/>
        </w:rPr>
      </w:pPr>
      <w:r w:rsidRPr="006D4FF2">
        <w:rPr>
          <w:rFonts w:ascii="Cambria" w:hAnsi="Cambria"/>
          <w:b/>
          <w:bCs/>
          <w:sz w:val="20"/>
          <w:szCs w:val="20"/>
        </w:rPr>
        <w:t>2.1 Overview of Geopolitical Disturbance</w:t>
      </w:r>
      <w:r w:rsidRPr="00A61BEB">
        <w:rPr>
          <w:rFonts w:ascii="Cambria" w:hAnsi="Cambria"/>
          <w:sz w:val="20"/>
          <w:szCs w:val="20"/>
        </w:rPr>
        <w:t xml:space="preserve"> </w:t>
      </w:r>
    </w:p>
    <w:p w14:paraId="03A2E43A" w14:textId="77777777" w:rsid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According to Hodulo et. al (2024), two main processes of transmission have been identified. The real-world economic channel affects commodity prices, distribution networks, and trade, and 2) the monetary channel, where higher risk aversion and uncertainty lead to investment volatility and asset reorganizations. To justify the real-world economics channel, Mansoor et al. (2024) highlighted important factors that contribute to a positive consumer </w:t>
      </w:r>
      <w:r w:rsidRPr="00A61BEB">
        <w:rPr>
          <w:rFonts w:ascii="Cambria" w:hAnsi="Cambria"/>
          <w:sz w:val="20"/>
          <w:szCs w:val="20"/>
        </w:rPr>
        <w:lastRenderedPageBreak/>
        <w:t>experience in the realm of possibility, like trial-ability and social presence, which increase interest and purchase intent. On the other hand, for the secondary channel “the monetary channel”, Li et al (2021) suggested that monetary policy is gradually influencing the wealth of households through the equity and mortgage markets, as seen by the asset price channel's increasing role. Based on these findings, China ought to encourage reforms in finance and keep an open mind on asset price movements in order to carry out more efficient monetary policies.</w:t>
      </w:r>
    </w:p>
    <w:p w14:paraId="7A5827CB" w14:textId="77777777" w:rsidR="006D4FF2" w:rsidRPr="00A61BEB" w:rsidRDefault="006D4FF2" w:rsidP="006D4FF2">
      <w:pPr>
        <w:widowControl/>
        <w:autoSpaceDE/>
        <w:autoSpaceDN/>
        <w:contextualSpacing/>
        <w:jc w:val="both"/>
        <w:rPr>
          <w:rFonts w:ascii="Cambria" w:hAnsi="Cambria"/>
          <w:sz w:val="20"/>
          <w:szCs w:val="20"/>
        </w:rPr>
      </w:pPr>
    </w:p>
    <w:p w14:paraId="1B1A407E" w14:textId="77777777" w:rsidR="00A61BEB" w:rsidRP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According to Gong and Xu (2022), the livestock and agricultural sectors experience disturbances that can be transmitted by fuel and metallic substances, while the interconnection and overflow patterns of goods marketplaces are drastically altered by risks associated with geopolitics. Bednarski et al. (2025) highlighted that trade wars and sanctions, among other geopolitical events, make supply chains vulnerable. Recent innovations like blockchain technology, artificial intelligence, backshoring, and regionalisation tend to constitute significant limiting strategies. The topic needs additional research on adaptive risk administration and adaptability.</w:t>
      </w:r>
    </w:p>
    <w:p w14:paraId="29E04E55" w14:textId="77777777" w:rsidR="006D4FF2" w:rsidRDefault="006D4FF2" w:rsidP="006D4FF2">
      <w:pPr>
        <w:widowControl/>
        <w:autoSpaceDE/>
        <w:autoSpaceDN/>
        <w:contextualSpacing/>
        <w:jc w:val="both"/>
        <w:rPr>
          <w:rFonts w:ascii="Cambria" w:hAnsi="Cambria"/>
          <w:sz w:val="20"/>
          <w:szCs w:val="20"/>
        </w:rPr>
      </w:pPr>
    </w:p>
    <w:p w14:paraId="5928D6D2" w14:textId="22FB9DC5" w:rsidR="00A61BEB" w:rsidRP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According to Dogan et al. (2021), the implications of geopolitical instability and uncertain economic policy have been thoroughly examined; the implications of rents for natural resources have received less attention. Uncertainty about economic policies has a mixed effect, raising rents at low levels and reducing them at high levels. The findings mentioned above underscore the necessity of strategies that tackle the many different impacts of instability and risk on economies that depend upon natural assets. NguyenHuu and Orsal (2024), emphasized that the important effect of international issues on the economy in countries that are developing, especially when instability is at its highest. In advanced countries, equity markets are more vulnerable to international disputes that have less of an effect on the financial industry and mainly affect the foreign currency, banking, and debt markets.  </w:t>
      </w:r>
    </w:p>
    <w:p w14:paraId="62DAEBD3" w14:textId="6B1B7F11" w:rsidR="00A61BEB" w:rsidRP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 </w:t>
      </w:r>
    </w:p>
    <w:p w14:paraId="2BA8D2B3" w14:textId="69FB5C94" w:rsidR="00A61BEB" w:rsidRPr="006D4FF2" w:rsidRDefault="00A61BEB" w:rsidP="006D4FF2">
      <w:pPr>
        <w:widowControl/>
        <w:autoSpaceDE/>
        <w:autoSpaceDN/>
        <w:contextualSpacing/>
        <w:jc w:val="both"/>
        <w:rPr>
          <w:rFonts w:ascii="Cambria" w:hAnsi="Cambria"/>
          <w:b/>
          <w:bCs/>
          <w:sz w:val="20"/>
          <w:szCs w:val="20"/>
        </w:rPr>
      </w:pPr>
      <w:r w:rsidRPr="006D4FF2">
        <w:rPr>
          <w:rFonts w:ascii="Cambria" w:hAnsi="Cambria"/>
          <w:b/>
          <w:bCs/>
          <w:sz w:val="20"/>
          <w:szCs w:val="20"/>
        </w:rPr>
        <w:t>2.2 Overview of International Trade in India</w:t>
      </w:r>
    </w:p>
    <w:p w14:paraId="06A7DE4B" w14:textId="77777777" w:rsid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Lohani (2024) discussed gravity model outcomes; those are facilitated by international trade of India: trade relationships are influenced by common borders or languages, economic scale, and distance. The similarities promote trade while separation hampers it. Strengthening negotiations on trade to reduce challenges and enhance the integration of regions is supported by evidence. According to Luo (2024), an evolution out of international cooperation and toward patriotic interventionist approaches, motivated by protectionist policies, a mutually exclusive mindset, and geopolitical divisions. Since national security and sovereign concerns </w:t>
      </w:r>
      <w:r w:rsidRPr="00A61BEB">
        <w:rPr>
          <w:rFonts w:ascii="Cambria" w:hAnsi="Cambria"/>
          <w:sz w:val="20"/>
          <w:szCs w:val="20"/>
        </w:rPr>
        <w:t xml:space="preserve">progressively influence the governance of the global economy and commercial conversations, researchers highlight that this transformation brings into question the opening and cooperation-based predictions of global trade. </w:t>
      </w:r>
    </w:p>
    <w:p w14:paraId="627609EB" w14:textId="77777777" w:rsidR="006D4FF2" w:rsidRPr="00A61BEB" w:rsidRDefault="006D4FF2" w:rsidP="006D4FF2">
      <w:pPr>
        <w:widowControl/>
        <w:autoSpaceDE/>
        <w:autoSpaceDN/>
        <w:contextualSpacing/>
        <w:jc w:val="both"/>
        <w:rPr>
          <w:rFonts w:ascii="Cambria" w:hAnsi="Cambria"/>
          <w:sz w:val="20"/>
          <w:szCs w:val="20"/>
        </w:rPr>
      </w:pPr>
    </w:p>
    <w:p w14:paraId="71079EBD" w14:textId="77777777" w:rsid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Delev (2025) suggested that corporation–based global trade to emphasize stabilising trade arrangements or efforts as legal mechanisms which promote economic and safety objectives, preserve access to markets, and promote rule-setting and regulatory collaboration in the governance of the global economy. In their focus on the view of governance of the global economy, Liadze et al. (2023) suggested the consequences of the wars in the region's southeast are highlighted by disruptions in the availability of oil, rising energy costs, and increased global inflation. Regionally, the economy is significantly slowed, development is discouraged, and financial markets have been undermined by conflicts. Because of trade disruptions, energy reliance, and increased geopolitical unpredictability, economies around the globe are subject to indirect shocks that increase economic and recessionary pressures. </w:t>
      </w:r>
    </w:p>
    <w:p w14:paraId="4A882E96" w14:textId="77777777" w:rsidR="006D4FF2" w:rsidRPr="00A61BEB" w:rsidRDefault="006D4FF2" w:rsidP="006D4FF2">
      <w:pPr>
        <w:widowControl/>
        <w:autoSpaceDE/>
        <w:autoSpaceDN/>
        <w:contextualSpacing/>
        <w:jc w:val="both"/>
        <w:rPr>
          <w:rFonts w:ascii="Cambria" w:hAnsi="Cambria"/>
          <w:sz w:val="20"/>
          <w:szCs w:val="20"/>
        </w:rPr>
      </w:pPr>
    </w:p>
    <w:p w14:paraId="4C619B0A" w14:textId="77777777" w:rsid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(Pellegrino et al., 2023; Raghuwanshi, 2024) highlighted economic shocks caused by uncertainty during the recent Great Downturn produced major production losses, which contributed to over 60% of the get from 2008 to 2014, according to research using nonlinear proxy-VAR and DSGE models. The significance of the Central Reserve's systematic monetary policy to mitigate these adverse effects has been repeatedly stressed in the research. Wei and Han (2021) suggested reducing the financial markets' ability to receive monetary policy. Standard and unconventional measures had little impact on stocks, bonds, exchange rates, and derivatives markets, based on event-study evaluations carried out in 37 different nations. Findings show that after the outbreak, stronger monetary or fiscal measures are necessary.</w:t>
      </w:r>
    </w:p>
    <w:p w14:paraId="18FDF163" w14:textId="77777777" w:rsidR="006D4FF2" w:rsidRPr="00A61BEB" w:rsidRDefault="006D4FF2" w:rsidP="006D4FF2">
      <w:pPr>
        <w:widowControl/>
        <w:autoSpaceDE/>
        <w:autoSpaceDN/>
        <w:contextualSpacing/>
        <w:jc w:val="both"/>
        <w:rPr>
          <w:rFonts w:ascii="Cambria" w:hAnsi="Cambria"/>
          <w:sz w:val="20"/>
          <w:szCs w:val="20"/>
        </w:rPr>
      </w:pPr>
    </w:p>
    <w:p w14:paraId="42983D86" w14:textId="5785BB81" w:rsidR="00A35323"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According to (Gupta &amp; Loya, 2025; Aladwan et al, 2024), the significance of affecting the economy's performance. A study indicates that money supply and real gross domestic product have a beneficial relationship, particularly in recent research from Jordan. Outcomes frequently indicate the efficacy of monetary policy in encouraging growth and stabilising economies through techniques such as Granger causality, VECM, and FMOLS. Kurniawan et al. (2023) highlighted its relevance to economic variables, especially following the financial crisis of 2008. According to the inferences of research study is mentioning ARDL methods. As reference of Indonesia, where as using the ARDL methods, it shows that inflation has a positive impact on property </w:t>
      </w:r>
      <w:r w:rsidRPr="00A61BEB">
        <w:rPr>
          <w:rFonts w:ascii="Cambria" w:hAnsi="Cambria"/>
          <w:sz w:val="20"/>
          <w:szCs w:val="20"/>
        </w:rPr>
        <w:lastRenderedPageBreak/>
        <w:t>values, whereas GDP has a negative one. A significance of monetary policy for maintaining price stability is shown by the differences in the short-term and long-term effects of local and international interest rates.</w:t>
      </w:r>
    </w:p>
    <w:p w14:paraId="7764FBBC" w14:textId="77777777" w:rsidR="00A61BEB" w:rsidRDefault="00A61BEB" w:rsidP="006D4FF2">
      <w:pPr>
        <w:widowControl/>
        <w:autoSpaceDE/>
        <w:autoSpaceDN/>
        <w:contextualSpacing/>
        <w:jc w:val="both"/>
        <w:rPr>
          <w:rFonts w:ascii="Cambria" w:hAnsi="Cambria"/>
          <w:sz w:val="20"/>
          <w:szCs w:val="20"/>
        </w:rPr>
      </w:pPr>
    </w:p>
    <w:p w14:paraId="2B55D043" w14:textId="61221A43" w:rsidR="00A61BEB" w:rsidRPr="006D4FF2" w:rsidRDefault="00A61BEB" w:rsidP="006D4FF2">
      <w:pPr>
        <w:widowControl/>
        <w:autoSpaceDE/>
        <w:autoSpaceDN/>
        <w:contextualSpacing/>
        <w:jc w:val="both"/>
        <w:rPr>
          <w:rFonts w:ascii="Cambria" w:hAnsi="Cambria"/>
          <w:b/>
          <w:bCs/>
          <w:sz w:val="20"/>
          <w:szCs w:val="20"/>
        </w:rPr>
      </w:pPr>
      <w:r w:rsidRPr="006D4FF2">
        <w:rPr>
          <w:rFonts w:ascii="Cambria" w:hAnsi="Cambria"/>
          <w:b/>
          <w:bCs/>
          <w:sz w:val="20"/>
          <w:szCs w:val="20"/>
        </w:rPr>
        <w:t xml:space="preserve">2.3 Influence of Geopolitical Disturbance on International Trade in India </w:t>
      </w:r>
    </w:p>
    <w:p w14:paraId="16236A24" w14:textId="77777777" w:rsidR="00A61BEB" w:rsidRP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According to Batra (2020) and Mehta &amp; Kumar (2021), as a result of escalating geopolitical tensions, such as tariff disputes between foreign countries, border clashes, and shifting alliances, India has adjusted its tariff systems to safeguard domestic sectors and lessen external vulnerabilities. Geopolitical vulnerability has had a significant impact on India's international trade, especially by causing changes to the international supply chain dynamics and tariff regimes. </w:t>
      </w:r>
    </w:p>
    <w:p w14:paraId="2F7FB106" w14:textId="77777777" w:rsidR="006D4FF2" w:rsidRDefault="006D4FF2" w:rsidP="006D4FF2">
      <w:pPr>
        <w:widowControl/>
        <w:autoSpaceDE/>
        <w:autoSpaceDN/>
        <w:contextualSpacing/>
        <w:jc w:val="both"/>
        <w:rPr>
          <w:rFonts w:ascii="Cambria" w:hAnsi="Cambria"/>
          <w:sz w:val="20"/>
          <w:szCs w:val="20"/>
        </w:rPr>
      </w:pPr>
    </w:p>
    <w:p w14:paraId="1C4856C2" w14:textId="77777777" w:rsidR="006D4FF2"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According to Gupta (2022) the conflicts like as Russia-Ukraine and post-pandemic disruptions have raised the volatility of commodity prices, prompting India to modify import tariffs on crude oil, fertilizers, </w:t>
      </w:r>
      <w:r w:rsidRPr="00A61BEB">
        <w:rPr>
          <w:rFonts w:ascii="Cambria" w:hAnsi="Cambria"/>
          <w:sz w:val="20"/>
          <w:szCs w:val="20"/>
        </w:rPr>
        <w:t>and other necessities. Due to required necessity, (Amal &amp; Sabyasachi, 2025) underlined that an attempt to strike a balance between global competitiveness and protectionism may be seen in the implementation of "Atmanirbhar Bharat" policies and selective tariff increases. As mentioned in WTO report (2023), it points out that India frequently uses tariff adjustments to assist both strategic trade diversification and economic security. Although, studies indicated that these policies have conflicting effects and higher tariffs to protect domestic producers, that shows the critical effect for foreign investment inflows and risk decreasing export competitiveness (Gupta et. al., 2025).</w:t>
      </w:r>
    </w:p>
    <w:p w14:paraId="6B93EECE" w14:textId="143A5129" w:rsidR="00A61BEB" w:rsidRPr="006D4FF2" w:rsidRDefault="00A61BEB" w:rsidP="006D4FF2">
      <w:pPr>
        <w:widowControl/>
        <w:autoSpaceDE/>
        <w:autoSpaceDN/>
        <w:contextualSpacing/>
        <w:jc w:val="both"/>
        <w:rPr>
          <w:rFonts w:ascii="Cambria" w:hAnsi="Cambria"/>
          <w:b/>
          <w:bCs/>
          <w:sz w:val="20"/>
          <w:szCs w:val="20"/>
        </w:rPr>
      </w:pPr>
      <w:r w:rsidRPr="006D4FF2">
        <w:rPr>
          <w:rFonts w:ascii="Cambria" w:hAnsi="Cambria"/>
          <w:b/>
          <w:bCs/>
          <w:sz w:val="20"/>
          <w:szCs w:val="20"/>
        </w:rPr>
        <w:t>2.4 Hypotheses</w:t>
      </w:r>
    </w:p>
    <w:p w14:paraId="253D4621" w14:textId="77777777" w:rsidR="00A61BEB" w:rsidRPr="006D4FF2" w:rsidRDefault="00A61BEB" w:rsidP="006D4FF2">
      <w:pPr>
        <w:pStyle w:val="ListParagraph"/>
        <w:widowControl/>
        <w:numPr>
          <w:ilvl w:val="0"/>
          <w:numId w:val="14"/>
        </w:numPr>
        <w:autoSpaceDE/>
        <w:autoSpaceDN/>
        <w:contextualSpacing/>
        <w:rPr>
          <w:rFonts w:ascii="Cambria" w:hAnsi="Cambria"/>
          <w:sz w:val="20"/>
          <w:szCs w:val="20"/>
        </w:rPr>
      </w:pPr>
      <w:r w:rsidRPr="006D4FF2">
        <w:rPr>
          <w:rFonts w:ascii="Cambria" w:hAnsi="Cambria"/>
          <w:sz w:val="20"/>
          <w:szCs w:val="20"/>
        </w:rPr>
        <w:t>HA1: Geopolitical disturbances are significantly affected international trade of India.</w:t>
      </w:r>
    </w:p>
    <w:p w14:paraId="3AB82C0B" w14:textId="77777777" w:rsidR="00A61BEB" w:rsidRPr="006D4FF2" w:rsidRDefault="00A61BEB" w:rsidP="006D4FF2">
      <w:pPr>
        <w:pStyle w:val="ListParagraph"/>
        <w:widowControl/>
        <w:numPr>
          <w:ilvl w:val="0"/>
          <w:numId w:val="14"/>
        </w:numPr>
        <w:autoSpaceDE/>
        <w:autoSpaceDN/>
        <w:contextualSpacing/>
        <w:rPr>
          <w:rFonts w:ascii="Cambria" w:hAnsi="Cambria"/>
          <w:sz w:val="20"/>
          <w:szCs w:val="20"/>
        </w:rPr>
      </w:pPr>
      <w:r w:rsidRPr="006D4FF2">
        <w:rPr>
          <w:rFonts w:ascii="Cambria" w:hAnsi="Cambria"/>
          <w:sz w:val="20"/>
          <w:szCs w:val="20"/>
        </w:rPr>
        <w:t>HA2: A force for companies to look for other trading partners must require, due to geopolitical disturbance in India’s foreign trade.</w:t>
      </w:r>
    </w:p>
    <w:p w14:paraId="5C480473" w14:textId="77777777" w:rsidR="006D4FF2" w:rsidRDefault="006D4FF2" w:rsidP="006D4FF2">
      <w:pPr>
        <w:widowControl/>
        <w:autoSpaceDE/>
        <w:autoSpaceDN/>
        <w:contextualSpacing/>
        <w:jc w:val="both"/>
        <w:rPr>
          <w:rFonts w:ascii="Cambria" w:hAnsi="Cambria"/>
          <w:b/>
          <w:bCs/>
          <w:sz w:val="24"/>
          <w:szCs w:val="24"/>
        </w:rPr>
        <w:sectPr w:rsidR="006D4FF2" w:rsidSect="00325CF9">
          <w:type w:val="continuous"/>
          <w:pgSz w:w="11910" w:h="16840" w:code="9"/>
          <w:pgMar w:top="1440" w:right="1080" w:bottom="1440" w:left="1080" w:header="567" w:footer="822" w:gutter="0"/>
          <w:cols w:num="2" w:space="720"/>
          <w:titlePg/>
          <w:docGrid w:linePitch="299"/>
        </w:sectPr>
      </w:pPr>
    </w:p>
    <w:p w14:paraId="2A4A3D89" w14:textId="77777777" w:rsidR="006D4FF2" w:rsidRDefault="006D4FF2" w:rsidP="006D4FF2">
      <w:pPr>
        <w:widowControl/>
        <w:autoSpaceDE/>
        <w:autoSpaceDN/>
        <w:contextualSpacing/>
        <w:jc w:val="both"/>
        <w:rPr>
          <w:rFonts w:ascii="Cambria" w:hAnsi="Cambria"/>
          <w:b/>
          <w:bCs/>
          <w:sz w:val="24"/>
          <w:szCs w:val="24"/>
        </w:rPr>
      </w:pPr>
    </w:p>
    <w:p w14:paraId="79BB5C71" w14:textId="0ACE601F" w:rsidR="00A61BEB" w:rsidRPr="006D4FF2" w:rsidRDefault="006D4FF2" w:rsidP="006D4FF2">
      <w:pPr>
        <w:widowControl/>
        <w:autoSpaceDE/>
        <w:autoSpaceDN/>
        <w:contextualSpacing/>
        <w:jc w:val="center"/>
        <w:rPr>
          <w:rFonts w:ascii="Cambria" w:hAnsi="Cambria"/>
          <w:b/>
          <w:bCs/>
          <w:sz w:val="24"/>
          <w:szCs w:val="24"/>
        </w:rPr>
      </w:pPr>
      <w:r w:rsidRPr="006D4FF2">
        <w:rPr>
          <w:rFonts w:ascii="Cambria" w:hAnsi="Cambria"/>
          <w:b/>
          <w:bCs/>
          <w:sz w:val="24"/>
          <w:szCs w:val="24"/>
        </w:rPr>
        <w:t>RESEARCH DESIGN</w:t>
      </w:r>
    </w:p>
    <w:p w14:paraId="261E1049" w14:textId="70E504E1" w:rsidR="00A61BEB" w:rsidRPr="006D4FF2" w:rsidRDefault="00A61BEB" w:rsidP="006D4FF2">
      <w:pPr>
        <w:widowControl/>
        <w:autoSpaceDE/>
        <w:autoSpaceDN/>
        <w:contextualSpacing/>
        <w:jc w:val="both"/>
        <w:rPr>
          <w:rFonts w:ascii="Cambria" w:hAnsi="Cambria"/>
          <w:b/>
          <w:bCs/>
          <w:sz w:val="20"/>
          <w:szCs w:val="20"/>
        </w:rPr>
      </w:pPr>
      <w:r w:rsidRPr="006D4FF2">
        <w:rPr>
          <w:rFonts w:ascii="Cambria" w:hAnsi="Cambria"/>
          <w:b/>
          <w:bCs/>
          <w:sz w:val="20"/>
          <w:szCs w:val="20"/>
        </w:rPr>
        <w:t>3.1 Research Model:</w:t>
      </w:r>
    </w:p>
    <w:p w14:paraId="412F4FA9" w14:textId="4F0FD8BD" w:rsidR="00A61BEB" w:rsidRDefault="00A61BEB" w:rsidP="006D4FF2">
      <w:pPr>
        <w:widowControl/>
        <w:autoSpaceDE/>
        <w:autoSpaceDN/>
        <w:contextualSpacing/>
        <w:jc w:val="center"/>
        <w:rPr>
          <w:rFonts w:ascii="Cambria" w:hAnsi="Cambria"/>
          <w:sz w:val="20"/>
          <w:szCs w:val="20"/>
        </w:rPr>
      </w:pPr>
      <w:r w:rsidRPr="006D4FF2">
        <w:rPr>
          <w:rFonts w:ascii="Cambria" w:hAnsi="Cambria"/>
          <w:noProof/>
          <w:sz w:val="20"/>
          <w:szCs w:val="20"/>
        </w:rPr>
        <w:drawing>
          <wp:inline distT="0" distB="0" distL="0" distR="0" wp14:anchorId="2DFABC67" wp14:editId="180F8C12">
            <wp:extent cx="2867025" cy="59970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67025" cy="599706"/>
                    </a:xfrm>
                    <a:prstGeom prst="rect">
                      <a:avLst/>
                    </a:prstGeom>
                  </pic:spPr>
                </pic:pic>
              </a:graphicData>
            </a:graphic>
          </wp:inline>
        </w:drawing>
      </w:r>
    </w:p>
    <w:p w14:paraId="23B983CF" w14:textId="77777777" w:rsidR="00A61BEB" w:rsidRP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Source: Author’s own model</w:t>
      </w:r>
    </w:p>
    <w:p w14:paraId="1F025A8B" w14:textId="77777777" w:rsidR="00A61BEB" w:rsidRPr="00A61BEB" w:rsidRDefault="00A61BEB" w:rsidP="006D4FF2">
      <w:pPr>
        <w:widowControl/>
        <w:autoSpaceDE/>
        <w:autoSpaceDN/>
        <w:contextualSpacing/>
        <w:jc w:val="both"/>
        <w:rPr>
          <w:rFonts w:ascii="Cambria" w:hAnsi="Cambria"/>
          <w:sz w:val="20"/>
          <w:szCs w:val="20"/>
        </w:rPr>
      </w:pPr>
    </w:p>
    <w:p w14:paraId="2C6CCEDB" w14:textId="6D9C1B45" w:rsidR="00A61BEB" w:rsidRPr="006D4FF2" w:rsidRDefault="006D4FF2" w:rsidP="006D4FF2">
      <w:pPr>
        <w:widowControl/>
        <w:autoSpaceDE/>
        <w:autoSpaceDN/>
        <w:contextualSpacing/>
        <w:jc w:val="both"/>
        <w:rPr>
          <w:rFonts w:ascii="Cambria" w:hAnsi="Cambria"/>
          <w:b/>
          <w:bCs/>
          <w:sz w:val="20"/>
          <w:szCs w:val="20"/>
        </w:rPr>
      </w:pPr>
      <w:r w:rsidRPr="006D4FF2">
        <w:rPr>
          <w:rFonts w:ascii="Cambria" w:hAnsi="Cambria"/>
          <w:b/>
          <w:bCs/>
          <w:sz w:val="20"/>
          <w:szCs w:val="20"/>
        </w:rPr>
        <w:t>3.2 RESEARCH METHODOLOGY</w:t>
      </w:r>
    </w:p>
    <w:p w14:paraId="5B84A999" w14:textId="18CF0C59" w:rsidR="00A61BEB" w:rsidRP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 The research study uses Google Forms, an effective and user-friendly web application, for a research survey method of data gathering. Prepared questionnaire contains open-ended and closed-ended questions to gather information pertinent to the objectives of the study. The Google Form's link is sent via email and social media to reach a large number of replies. This strategy ensures cost-effectiveness, expanded reach, and real-time data recording. The responses are automatically compiled for examination by Google Sheets. Ethical norms, including informed consent and confidentiality, are respected to ensure the accuracy of the data.</w:t>
      </w:r>
    </w:p>
    <w:p w14:paraId="0B6B368A" w14:textId="77777777" w:rsidR="00A61BEB" w:rsidRP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 </w:t>
      </w:r>
    </w:p>
    <w:p w14:paraId="740499AE" w14:textId="298D78A0" w:rsidR="00A61BEB" w:rsidRPr="006D4FF2" w:rsidRDefault="00A61BEB" w:rsidP="006D4FF2">
      <w:pPr>
        <w:widowControl/>
        <w:autoSpaceDE/>
        <w:autoSpaceDN/>
        <w:contextualSpacing/>
        <w:jc w:val="both"/>
        <w:rPr>
          <w:rFonts w:ascii="Cambria" w:hAnsi="Cambria"/>
          <w:b/>
          <w:bCs/>
          <w:sz w:val="20"/>
          <w:szCs w:val="20"/>
        </w:rPr>
      </w:pPr>
      <w:r w:rsidRPr="006D4FF2">
        <w:rPr>
          <w:rFonts w:ascii="Cambria" w:hAnsi="Cambria"/>
          <w:b/>
          <w:bCs/>
          <w:sz w:val="20"/>
          <w:szCs w:val="20"/>
        </w:rPr>
        <w:t>3.3 Data Collection</w:t>
      </w:r>
      <w:r w:rsidRPr="00A61BEB">
        <w:rPr>
          <w:rFonts w:ascii="Cambria" w:hAnsi="Cambria"/>
          <w:sz w:val="20"/>
          <w:szCs w:val="20"/>
        </w:rPr>
        <w:t xml:space="preserve"> </w:t>
      </w:r>
    </w:p>
    <w:p w14:paraId="6F88AD5B" w14:textId="77777777" w:rsidR="00A61BEB" w:rsidRP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Google Forms was used to create an organized online survey that gathered data. To get thorough insights, through the use of questionnaire forms, 123 respondents posted their responses regarding the relevant information, which is very important to use the Likert scale measurement. Purposive sampling was used to choose participants, and answers were automatically recorded for analysis. Confidentiality and voluntary involvement were rigorously upheld as ethical principles.</w:t>
      </w:r>
    </w:p>
    <w:p w14:paraId="696F73B8" w14:textId="77777777" w:rsidR="00A61BEB" w:rsidRP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 </w:t>
      </w:r>
    </w:p>
    <w:p w14:paraId="73B736D4" w14:textId="33596273" w:rsidR="00A61BEB" w:rsidRPr="006D4FF2" w:rsidRDefault="00A61BEB" w:rsidP="006D4FF2">
      <w:pPr>
        <w:widowControl/>
        <w:autoSpaceDE/>
        <w:autoSpaceDN/>
        <w:contextualSpacing/>
        <w:jc w:val="both"/>
        <w:rPr>
          <w:rFonts w:ascii="Cambria" w:hAnsi="Cambria"/>
          <w:b/>
          <w:bCs/>
          <w:sz w:val="20"/>
          <w:szCs w:val="20"/>
        </w:rPr>
      </w:pPr>
      <w:r w:rsidRPr="006D4FF2">
        <w:rPr>
          <w:rFonts w:ascii="Cambria" w:hAnsi="Cambria"/>
          <w:b/>
          <w:bCs/>
          <w:sz w:val="20"/>
          <w:szCs w:val="20"/>
        </w:rPr>
        <w:t>3.4 Ethical Consideration</w:t>
      </w:r>
    </w:p>
    <w:p w14:paraId="56BF4CD0" w14:textId="20FE85AD" w:rsidR="00A61BEB" w:rsidRP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Prior to data collection, all participants' informed consent was obtained as part of ethical concerns. Participation was completely voluntary, and respondents were guaranteed anonymity and secrecy. Transparency and integrity were ensured by using the data only for scholarly reasons. In accordance with ethical research guidelines and privacy rules, no personal identifiers were gathered.</w:t>
      </w:r>
    </w:p>
    <w:p w14:paraId="06FAE05E" w14:textId="77777777" w:rsidR="006D4FF2" w:rsidRDefault="006D4FF2" w:rsidP="006D4FF2">
      <w:pPr>
        <w:widowControl/>
        <w:autoSpaceDE/>
        <w:autoSpaceDN/>
        <w:contextualSpacing/>
        <w:jc w:val="both"/>
        <w:rPr>
          <w:rFonts w:ascii="Cambria" w:hAnsi="Cambria"/>
          <w:sz w:val="20"/>
          <w:szCs w:val="20"/>
        </w:rPr>
      </w:pPr>
    </w:p>
    <w:p w14:paraId="03F2B3B0" w14:textId="2AB543E8" w:rsidR="00A61BEB" w:rsidRPr="006D4FF2" w:rsidRDefault="00A61BEB" w:rsidP="006D4FF2">
      <w:pPr>
        <w:widowControl/>
        <w:autoSpaceDE/>
        <w:autoSpaceDN/>
        <w:contextualSpacing/>
        <w:jc w:val="both"/>
        <w:rPr>
          <w:rFonts w:ascii="Cambria" w:hAnsi="Cambria"/>
          <w:b/>
          <w:bCs/>
          <w:sz w:val="20"/>
          <w:szCs w:val="20"/>
        </w:rPr>
      </w:pPr>
      <w:r w:rsidRPr="006D4FF2">
        <w:rPr>
          <w:rFonts w:ascii="Cambria" w:hAnsi="Cambria"/>
          <w:b/>
          <w:bCs/>
          <w:sz w:val="20"/>
          <w:szCs w:val="20"/>
        </w:rPr>
        <w:t>3.5 Research Tools: SPSS Software, Google Form, web chat, etc., are used as research tools to collect data.</w:t>
      </w:r>
    </w:p>
    <w:p w14:paraId="10E41E8A" w14:textId="77777777" w:rsidR="00A61BEB" w:rsidRP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 </w:t>
      </w:r>
    </w:p>
    <w:p w14:paraId="78A44C15" w14:textId="77777777" w:rsidR="00A61BEB" w:rsidRPr="006D4FF2" w:rsidRDefault="00A61BEB" w:rsidP="006D4FF2">
      <w:pPr>
        <w:widowControl/>
        <w:autoSpaceDE/>
        <w:autoSpaceDN/>
        <w:contextualSpacing/>
        <w:jc w:val="both"/>
        <w:rPr>
          <w:rFonts w:ascii="Cambria" w:hAnsi="Cambria"/>
          <w:b/>
          <w:bCs/>
          <w:sz w:val="20"/>
          <w:szCs w:val="20"/>
        </w:rPr>
      </w:pPr>
      <w:r w:rsidRPr="006D4FF2">
        <w:rPr>
          <w:rFonts w:ascii="Cambria" w:hAnsi="Cambria"/>
          <w:b/>
          <w:bCs/>
          <w:sz w:val="20"/>
          <w:szCs w:val="20"/>
        </w:rPr>
        <w:t>3.6 Data Analysis</w:t>
      </w:r>
    </w:p>
    <w:p w14:paraId="29D61C61" w14:textId="77777777" w:rsidR="006D4FF2"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After receiving 123 valid responses, participants (Professors, International Students and other individuals) played an important role in analysing the further study by using the research survey method to know about the people’s intentions regarding the geopolitical disturbances which is happening across the world.</w:t>
      </w:r>
    </w:p>
    <w:p w14:paraId="28AB267D" w14:textId="77777777" w:rsidR="006D4FF2" w:rsidRDefault="006D4FF2" w:rsidP="006D4FF2">
      <w:pPr>
        <w:widowControl/>
        <w:autoSpaceDE/>
        <w:autoSpaceDN/>
        <w:contextualSpacing/>
        <w:jc w:val="both"/>
        <w:rPr>
          <w:rFonts w:ascii="Cambria" w:hAnsi="Cambria"/>
          <w:sz w:val="20"/>
          <w:szCs w:val="20"/>
        </w:rPr>
      </w:pPr>
    </w:p>
    <w:p w14:paraId="27B0736F" w14:textId="511B8ADD" w:rsidR="00A61BEB" w:rsidRPr="006D4FF2" w:rsidRDefault="00A61BEB" w:rsidP="006D4FF2">
      <w:pPr>
        <w:widowControl/>
        <w:autoSpaceDE/>
        <w:autoSpaceDN/>
        <w:contextualSpacing/>
        <w:jc w:val="both"/>
        <w:rPr>
          <w:rFonts w:ascii="Cambria" w:hAnsi="Cambria"/>
          <w:b/>
          <w:bCs/>
          <w:sz w:val="20"/>
          <w:szCs w:val="20"/>
        </w:rPr>
      </w:pPr>
      <w:r w:rsidRPr="006D4FF2">
        <w:rPr>
          <w:rFonts w:ascii="Cambria" w:hAnsi="Cambria"/>
          <w:b/>
          <w:bCs/>
          <w:sz w:val="20"/>
          <w:szCs w:val="20"/>
        </w:rPr>
        <w:t>3.6.1 Frequency and Reliability</w:t>
      </w:r>
    </w:p>
    <w:p w14:paraId="0910BA80" w14:textId="47B7EFF5" w:rsidR="00A61BEB" w:rsidRPr="006D4FF2" w:rsidRDefault="00A61BEB" w:rsidP="006D4FF2">
      <w:pPr>
        <w:widowControl/>
        <w:autoSpaceDE/>
        <w:autoSpaceDN/>
        <w:contextualSpacing/>
        <w:jc w:val="center"/>
        <w:rPr>
          <w:rFonts w:ascii="Cambria" w:hAnsi="Cambria"/>
          <w:b/>
          <w:bCs/>
          <w:sz w:val="20"/>
          <w:szCs w:val="20"/>
        </w:rPr>
      </w:pPr>
      <w:r w:rsidRPr="006D4FF2">
        <w:rPr>
          <w:rFonts w:ascii="Cambria" w:hAnsi="Cambria"/>
          <w:b/>
          <w:bCs/>
          <w:sz w:val="20"/>
          <w:szCs w:val="20"/>
        </w:rPr>
        <w:t>Table 1: Frequency validation of samples</w:t>
      </w:r>
    </w:p>
    <w:tbl>
      <w:tblPr>
        <w:tblW w:w="4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60"/>
        <w:gridCol w:w="1153"/>
        <w:gridCol w:w="1030"/>
        <w:gridCol w:w="1030"/>
      </w:tblGrid>
      <w:tr w:rsidR="00A61BEB" w:rsidRPr="006D4FF2" w14:paraId="2C0BB8E9" w14:textId="77777777" w:rsidTr="00213C93">
        <w:trPr>
          <w:cantSplit/>
          <w:jc w:val="center"/>
        </w:trPr>
        <w:tc>
          <w:tcPr>
            <w:tcW w:w="4070" w:type="dxa"/>
            <w:gridSpan w:val="4"/>
            <w:shd w:val="clear" w:color="auto" w:fill="FFFFFF"/>
            <w:vAlign w:val="center"/>
          </w:tcPr>
          <w:p w14:paraId="42ED7E1B"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Case Processing Summary</w:t>
            </w:r>
          </w:p>
        </w:tc>
      </w:tr>
      <w:tr w:rsidR="00A61BEB" w:rsidRPr="006D4FF2" w14:paraId="34E02389" w14:textId="77777777" w:rsidTr="00213C93">
        <w:trPr>
          <w:cantSplit/>
          <w:jc w:val="center"/>
        </w:trPr>
        <w:tc>
          <w:tcPr>
            <w:tcW w:w="2012" w:type="dxa"/>
            <w:gridSpan w:val="2"/>
            <w:shd w:val="clear" w:color="auto" w:fill="FFFFFF"/>
            <w:vAlign w:val="bottom"/>
          </w:tcPr>
          <w:p w14:paraId="58C19A16" w14:textId="77777777" w:rsidR="00A61BEB" w:rsidRPr="006D4FF2" w:rsidRDefault="00A61BEB" w:rsidP="006D4FF2">
            <w:pPr>
              <w:widowControl/>
              <w:autoSpaceDE/>
              <w:autoSpaceDN/>
              <w:contextualSpacing/>
              <w:jc w:val="both"/>
              <w:rPr>
                <w:rFonts w:ascii="Cambria" w:hAnsi="Cambria"/>
                <w:sz w:val="20"/>
                <w:szCs w:val="20"/>
              </w:rPr>
            </w:pPr>
          </w:p>
        </w:tc>
        <w:tc>
          <w:tcPr>
            <w:tcW w:w="1029" w:type="dxa"/>
            <w:shd w:val="clear" w:color="auto" w:fill="FFFFFF"/>
            <w:vAlign w:val="bottom"/>
          </w:tcPr>
          <w:p w14:paraId="164116DC"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N</w:t>
            </w:r>
          </w:p>
        </w:tc>
        <w:tc>
          <w:tcPr>
            <w:tcW w:w="1029" w:type="dxa"/>
            <w:shd w:val="clear" w:color="auto" w:fill="FFFFFF"/>
            <w:vAlign w:val="bottom"/>
          </w:tcPr>
          <w:p w14:paraId="5A16B9BB"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w:t>
            </w:r>
          </w:p>
        </w:tc>
      </w:tr>
      <w:tr w:rsidR="00A61BEB" w:rsidRPr="006D4FF2" w14:paraId="7B562BE1" w14:textId="77777777" w:rsidTr="00213C93">
        <w:trPr>
          <w:cantSplit/>
          <w:jc w:val="center"/>
        </w:trPr>
        <w:tc>
          <w:tcPr>
            <w:tcW w:w="860" w:type="dxa"/>
            <w:vMerge w:val="restart"/>
            <w:shd w:val="clear" w:color="auto" w:fill="E0E0E0"/>
          </w:tcPr>
          <w:p w14:paraId="15C00821"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Cases</w:t>
            </w:r>
          </w:p>
        </w:tc>
        <w:tc>
          <w:tcPr>
            <w:tcW w:w="1152" w:type="dxa"/>
            <w:shd w:val="clear" w:color="auto" w:fill="E0E0E0"/>
          </w:tcPr>
          <w:p w14:paraId="030486CD"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Valid</w:t>
            </w:r>
          </w:p>
        </w:tc>
        <w:tc>
          <w:tcPr>
            <w:tcW w:w="1029" w:type="dxa"/>
            <w:shd w:val="clear" w:color="auto" w:fill="FFFFFF"/>
          </w:tcPr>
          <w:p w14:paraId="5FB40B69"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123</w:t>
            </w:r>
          </w:p>
        </w:tc>
        <w:tc>
          <w:tcPr>
            <w:tcW w:w="1029" w:type="dxa"/>
            <w:shd w:val="clear" w:color="auto" w:fill="FFFFFF"/>
          </w:tcPr>
          <w:p w14:paraId="1926AA0B"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100.0</w:t>
            </w:r>
          </w:p>
        </w:tc>
      </w:tr>
      <w:tr w:rsidR="00A61BEB" w:rsidRPr="006D4FF2" w14:paraId="2045CCBD" w14:textId="77777777" w:rsidTr="00213C93">
        <w:trPr>
          <w:cantSplit/>
          <w:jc w:val="center"/>
        </w:trPr>
        <w:tc>
          <w:tcPr>
            <w:tcW w:w="860" w:type="dxa"/>
            <w:vMerge/>
            <w:shd w:val="clear" w:color="auto" w:fill="E0E0E0"/>
          </w:tcPr>
          <w:p w14:paraId="33DE464F" w14:textId="77777777" w:rsidR="00A61BEB" w:rsidRPr="006D4FF2" w:rsidRDefault="00A61BEB" w:rsidP="006D4FF2">
            <w:pPr>
              <w:widowControl/>
              <w:autoSpaceDE/>
              <w:autoSpaceDN/>
              <w:contextualSpacing/>
              <w:jc w:val="both"/>
              <w:rPr>
                <w:rFonts w:ascii="Cambria" w:hAnsi="Cambria"/>
                <w:sz w:val="20"/>
                <w:szCs w:val="20"/>
              </w:rPr>
            </w:pPr>
          </w:p>
        </w:tc>
        <w:tc>
          <w:tcPr>
            <w:tcW w:w="1152" w:type="dxa"/>
            <w:shd w:val="clear" w:color="auto" w:fill="E0E0E0"/>
          </w:tcPr>
          <w:p w14:paraId="713C0A01"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Excludeda</w:t>
            </w:r>
          </w:p>
        </w:tc>
        <w:tc>
          <w:tcPr>
            <w:tcW w:w="1029" w:type="dxa"/>
            <w:shd w:val="clear" w:color="auto" w:fill="FFFFFF"/>
          </w:tcPr>
          <w:p w14:paraId="2758C93E" w14:textId="77777777" w:rsidR="00A61BEB" w:rsidRPr="006D4FF2" w:rsidRDefault="00A61BEB" w:rsidP="006D4FF2">
            <w:pPr>
              <w:widowControl/>
              <w:autoSpaceDE/>
              <w:autoSpaceDN/>
              <w:contextualSpacing/>
              <w:jc w:val="both"/>
              <w:rPr>
                <w:rFonts w:ascii="Cambria" w:hAnsi="Cambria"/>
                <w:sz w:val="20"/>
                <w:szCs w:val="20"/>
              </w:rPr>
            </w:pPr>
          </w:p>
        </w:tc>
        <w:tc>
          <w:tcPr>
            <w:tcW w:w="1029" w:type="dxa"/>
            <w:shd w:val="clear" w:color="auto" w:fill="FFFFFF"/>
          </w:tcPr>
          <w:p w14:paraId="142D1330" w14:textId="77777777" w:rsidR="00A61BEB" w:rsidRPr="006D4FF2" w:rsidRDefault="00A61BEB" w:rsidP="006D4FF2">
            <w:pPr>
              <w:widowControl/>
              <w:autoSpaceDE/>
              <w:autoSpaceDN/>
              <w:contextualSpacing/>
              <w:jc w:val="both"/>
              <w:rPr>
                <w:rFonts w:ascii="Cambria" w:hAnsi="Cambria"/>
                <w:sz w:val="20"/>
                <w:szCs w:val="20"/>
              </w:rPr>
            </w:pPr>
          </w:p>
        </w:tc>
      </w:tr>
      <w:tr w:rsidR="00A61BEB" w:rsidRPr="006D4FF2" w14:paraId="1F2A749C" w14:textId="77777777" w:rsidTr="00213C93">
        <w:trPr>
          <w:cantSplit/>
          <w:jc w:val="center"/>
        </w:trPr>
        <w:tc>
          <w:tcPr>
            <w:tcW w:w="860" w:type="dxa"/>
            <w:vMerge/>
            <w:shd w:val="clear" w:color="auto" w:fill="E0E0E0"/>
          </w:tcPr>
          <w:p w14:paraId="30CC4042" w14:textId="77777777" w:rsidR="00A61BEB" w:rsidRPr="006D4FF2" w:rsidRDefault="00A61BEB" w:rsidP="006D4FF2">
            <w:pPr>
              <w:widowControl/>
              <w:autoSpaceDE/>
              <w:autoSpaceDN/>
              <w:contextualSpacing/>
              <w:jc w:val="both"/>
              <w:rPr>
                <w:rFonts w:ascii="Cambria" w:hAnsi="Cambria"/>
                <w:sz w:val="20"/>
                <w:szCs w:val="20"/>
              </w:rPr>
            </w:pPr>
          </w:p>
        </w:tc>
        <w:tc>
          <w:tcPr>
            <w:tcW w:w="1152" w:type="dxa"/>
            <w:shd w:val="clear" w:color="auto" w:fill="E0E0E0"/>
          </w:tcPr>
          <w:p w14:paraId="26C9F666"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Total</w:t>
            </w:r>
          </w:p>
        </w:tc>
        <w:tc>
          <w:tcPr>
            <w:tcW w:w="1029" w:type="dxa"/>
            <w:shd w:val="clear" w:color="auto" w:fill="FFFFFF"/>
          </w:tcPr>
          <w:p w14:paraId="2CFE7967"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123</w:t>
            </w:r>
          </w:p>
        </w:tc>
        <w:tc>
          <w:tcPr>
            <w:tcW w:w="1029" w:type="dxa"/>
            <w:shd w:val="clear" w:color="auto" w:fill="FFFFFF"/>
          </w:tcPr>
          <w:p w14:paraId="39842FCC"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100.0</w:t>
            </w:r>
          </w:p>
        </w:tc>
      </w:tr>
      <w:tr w:rsidR="00A61BEB" w:rsidRPr="006D4FF2" w14:paraId="32438BC2" w14:textId="77777777" w:rsidTr="00213C93">
        <w:trPr>
          <w:cantSplit/>
          <w:jc w:val="center"/>
        </w:trPr>
        <w:tc>
          <w:tcPr>
            <w:tcW w:w="4070" w:type="dxa"/>
            <w:gridSpan w:val="4"/>
            <w:shd w:val="clear" w:color="auto" w:fill="FFFFFF"/>
          </w:tcPr>
          <w:p w14:paraId="3AC853CC"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a. Listwise deletion based on all variables in the procedure.</w:t>
            </w:r>
          </w:p>
        </w:tc>
      </w:tr>
    </w:tbl>
    <w:p w14:paraId="4C6B1410" w14:textId="77777777" w:rsidR="00A61BEB" w:rsidRDefault="00A61BEB" w:rsidP="006D4FF2">
      <w:pPr>
        <w:widowControl/>
        <w:autoSpaceDE/>
        <w:autoSpaceDN/>
        <w:contextualSpacing/>
        <w:jc w:val="both"/>
        <w:rPr>
          <w:rFonts w:ascii="Cambria" w:hAnsi="Cambria"/>
          <w:sz w:val="20"/>
          <w:szCs w:val="20"/>
        </w:rPr>
      </w:pPr>
    </w:p>
    <w:p w14:paraId="09740D78" w14:textId="767D6FAE" w:rsidR="00A61BEB" w:rsidRPr="006D4FF2" w:rsidRDefault="00A61BEB" w:rsidP="006D4FF2">
      <w:pPr>
        <w:widowControl/>
        <w:autoSpaceDE/>
        <w:autoSpaceDN/>
        <w:contextualSpacing/>
        <w:jc w:val="center"/>
        <w:rPr>
          <w:rFonts w:ascii="Cambria" w:hAnsi="Cambria"/>
          <w:b/>
          <w:bCs/>
          <w:sz w:val="20"/>
          <w:szCs w:val="20"/>
        </w:rPr>
      </w:pPr>
      <w:r w:rsidRPr="006D4FF2">
        <w:rPr>
          <w:rFonts w:ascii="Cambria" w:hAnsi="Cambria"/>
          <w:b/>
          <w:bCs/>
          <w:sz w:val="20"/>
          <w:szCs w:val="20"/>
        </w:rPr>
        <w:t>Table 2: Reliability Test</w:t>
      </w:r>
    </w:p>
    <w:tbl>
      <w:tblPr>
        <w:tblW w:w="41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4"/>
        <w:gridCol w:w="1503"/>
        <w:gridCol w:w="1174"/>
      </w:tblGrid>
      <w:tr w:rsidR="00A61BEB" w:rsidRPr="006D4FF2" w14:paraId="0C80544F" w14:textId="77777777" w:rsidTr="00213C93">
        <w:trPr>
          <w:cantSplit/>
          <w:jc w:val="center"/>
        </w:trPr>
        <w:tc>
          <w:tcPr>
            <w:tcW w:w="4180" w:type="dxa"/>
            <w:gridSpan w:val="3"/>
            <w:shd w:val="clear" w:color="auto" w:fill="FFFFFF"/>
            <w:vAlign w:val="center"/>
          </w:tcPr>
          <w:p w14:paraId="12100AF0"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Reliability Statistics</w:t>
            </w:r>
          </w:p>
        </w:tc>
      </w:tr>
      <w:tr w:rsidR="00A61BEB" w:rsidRPr="006D4FF2" w14:paraId="72411B1F" w14:textId="77777777" w:rsidTr="00213C93">
        <w:trPr>
          <w:cantSplit/>
          <w:jc w:val="center"/>
        </w:trPr>
        <w:tc>
          <w:tcPr>
            <w:tcW w:w="1503" w:type="dxa"/>
            <w:shd w:val="clear" w:color="auto" w:fill="FFFFFF"/>
            <w:vAlign w:val="bottom"/>
          </w:tcPr>
          <w:p w14:paraId="322F1A3D"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Cronbach's Alpha</w:t>
            </w:r>
          </w:p>
        </w:tc>
        <w:tc>
          <w:tcPr>
            <w:tcW w:w="1503" w:type="dxa"/>
            <w:shd w:val="clear" w:color="auto" w:fill="FFFFFF"/>
            <w:vAlign w:val="bottom"/>
          </w:tcPr>
          <w:p w14:paraId="540E7132"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Cronbach's Alpha Based on Standardized Items</w:t>
            </w:r>
          </w:p>
        </w:tc>
        <w:tc>
          <w:tcPr>
            <w:tcW w:w="1174" w:type="dxa"/>
            <w:shd w:val="clear" w:color="auto" w:fill="FFFFFF"/>
            <w:vAlign w:val="bottom"/>
          </w:tcPr>
          <w:p w14:paraId="49197F9A"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N of Items</w:t>
            </w:r>
          </w:p>
        </w:tc>
      </w:tr>
      <w:tr w:rsidR="00A61BEB" w:rsidRPr="006D4FF2" w14:paraId="7D87FADD" w14:textId="77777777" w:rsidTr="00213C93">
        <w:trPr>
          <w:cantSplit/>
          <w:jc w:val="center"/>
        </w:trPr>
        <w:tc>
          <w:tcPr>
            <w:tcW w:w="1503" w:type="dxa"/>
            <w:shd w:val="clear" w:color="auto" w:fill="FFFFFF"/>
          </w:tcPr>
          <w:p w14:paraId="46BA6ED8"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.747</w:t>
            </w:r>
          </w:p>
        </w:tc>
        <w:tc>
          <w:tcPr>
            <w:tcW w:w="1503" w:type="dxa"/>
            <w:shd w:val="clear" w:color="auto" w:fill="FFFFFF"/>
          </w:tcPr>
          <w:p w14:paraId="793B3499"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.745</w:t>
            </w:r>
          </w:p>
        </w:tc>
        <w:tc>
          <w:tcPr>
            <w:tcW w:w="1174" w:type="dxa"/>
            <w:shd w:val="clear" w:color="auto" w:fill="FFFFFF"/>
          </w:tcPr>
          <w:p w14:paraId="6F5DD381"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15</w:t>
            </w:r>
          </w:p>
        </w:tc>
      </w:tr>
    </w:tbl>
    <w:p w14:paraId="369BC431" w14:textId="77777777" w:rsidR="006D4FF2" w:rsidRDefault="006D4FF2" w:rsidP="006D4FF2">
      <w:pPr>
        <w:widowControl/>
        <w:autoSpaceDE/>
        <w:autoSpaceDN/>
        <w:contextualSpacing/>
        <w:jc w:val="both"/>
        <w:rPr>
          <w:rFonts w:ascii="Cambria" w:hAnsi="Cambria"/>
          <w:sz w:val="20"/>
          <w:szCs w:val="20"/>
        </w:rPr>
      </w:pPr>
    </w:p>
    <w:p w14:paraId="5F98C7B3" w14:textId="453252B5" w:rsidR="00A61BEB" w:rsidRP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The Cronbach’s alpha value is 0.747, which indicates that all samples are reliable because the Cronbach’s Alpha value is greater than 0.50.</w:t>
      </w:r>
    </w:p>
    <w:p w14:paraId="033218EA" w14:textId="77777777" w:rsidR="00A61BEB" w:rsidRP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 </w:t>
      </w:r>
    </w:p>
    <w:p w14:paraId="7D3F3EFA" w14:textId="77FD79F6" w:rsidR="00A61BEB" w:rsidRPr="006D4FF2" w:rsidRDefault="00A61BEB" w:rsidP="006D4FF2">
      <w:pPr>
        <w:widowControl/>
        <w:autoSpaceDE/>
        <w:autoSpaceDN/>
        <w:contextualSpacing/>
        <w:jc w:val="center"/>
        <w:rPr>
          <w:rFonts w:ascii="Cambria" w:hAnsi="Cambria"/>
          <w:b/>
          <w:bCs/>
          <w:sz w:val="20"/>
          <w:szCs w:val="20"/>
        </w:rPr>
      </w:pPr>
      <w:r w:rsidRPr="006D4FF2">
        <w:rPr>
          <w:rFonts w:ascii="Cambria" w:hAnsi="Cambria"/>
          <w:b/>
          <w:bCs/>
          <w:sz w:val="20"/>
          <w:szCs w:val="20"/>
        </w:rPr>
        <w:t>Table 3: Statistics summary of the item</w:t>
      </w:r>
    </w:p>
    <w:tbl>
      <w:tblPr>
        <w:tblW w:w="8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0"/>
        <w:gridCol w:w="882"/>
        <w:gridCol w:w="921"/>
        <w:gridCol w:w="948"/>
        <w:gridCol w:w="883"/>
        <w:gridCol w:w="1265"/>
        <w:gridCol w:w="883"/>
        <w:gridCol w:w="989"/>
      </w:tblGrid>
      <w:tr w:rsidR="00A61BEB" w:rsidRPr="006D4FF2" w14:paraId="4FEDFA18" w14:textId="77777777" w:rsidTr="006D4FF2">
        <w:trPr>
          <w:cantSplit/>
          <w:trHeight w:val="225"/>
          <w:jc w:val="center"/>
        </w:trPr>
        <w:tc>
          <w:tcPr>
            <w:tcW w:w="8641" w:type="dxa"/>
            <w:gridSpan w:val="8"/>
            <w:shd w:val="clear" w:color="auto" w:fill="FFFFFF"/>
            <w:vAlign w:val="center"/>
          </w:tcPr>
          <w:p w14:paraId="7F3FDC28"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Summary Item Statistics</w:t>
            </w:r>
          </w:p>
        </w:tc>
      </w:tr>
      <w:tr w:rsidR="00A61BEB" w:rsidRPr="006D4FF2" w14:paraId="24E9D064" w14:textId="77777777" w:rsidTr="006D4FF2">
        <w:trPr>
          <w:cantSplit/>
          <w:trHeight w:val="462"/>
          <w:jc w:val="center"/>
        </w:trPr>
        <w:tc>
          <w:tcPr>
            <w:tcW w:w="1870" w:type="dxa"/>
            <w:shd w:val="clear" w:color="auto" w:fill="FFFFFF"/>
            <w:vAlign w:val="bottom"/>
          </w:tcPr>
          <w:p w14:paraId="77A04574" w14:textId="77777777" w:rsidR="00A61BEB" w:rsidRPr="006D4FF2" w:rsidRDefault="00A61BEB" w:rsidP="006D4FF2">
            <w:pPr>
              <w:widowControl/>
              <w:autoSpaceDE/>
              <w:autoSpaceDN/>
              <w:contextualSpacing/>
              <w:jc w:val="both"/>
              <w:rPr>
                <w:rFonts w:ascii="Cambria" w:hAnsi="Cambria"/>
                <w:sz w:val="20"/>
                <w:szCs w:val="20"/>
              </w:rPr>
            </w:pPr>
          </w:p>
        </w:tc>
        <w:tc>
          <w:tcPr>
            <w:tcW w:w="882" w:type="dxa"/>
            <w:shd w:val="clear" w:color="auto" w:fill="FFFFFF"/>
            <w:vAlign w:val="bottom"/>
          </w:tcPr>
          <w:p w14:paraId="5A957211"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Mean</w:t>
            </w:r>
          </w:p>
        </w:tc>
        <w:tc>
          <w:tcPr>
            <w:tcW w:w="921" w:type="dxa"/>
            <w:shd w:val="clear" w:color="auto" w:fill="FFFFFF"/>
            <w:vAlign w:val="bottom"/>
          </w:tcPr>
          <w:p w14:paraId="3245EAFD"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Minimum</w:t>
            </w:r>
          </w:p>
        </w:tc>
        <w:tc>
          <w:tcPr>
            <w:tcW w:w="948" w:type="dxa"/>
            <w:shd w:val="clear" w:color="auto" w:fill="FFFFFF"/>
            <w:vAlign w:val="bottom"/>
          </w:tcPr>
          <w:p w14:paraId="3F54CC91"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Maximum</w:t>
            </w:r>
          </w:p>
        </w:tc>
        <w:tc>
          <w:tcPr>
            <w:tcW w:w="883" w:type="dxa"/>
            <w:shd w:val="clear" w:color="auto" w:fill="FFFFFF"/>
            <w:vAlign w:val="bottom"/>
          </w:tcPr>
          <w:p w14:paraId="3338BCA7"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Range</w:t>
            </w:r>
          </w:p>
        </w:tc>
        <w:tc>
          <w:tcPr>
            <w:tcW w:w="1265" w:type="dxa"/>
            <w:shd w:val="clear" w:color="auto" w:fill="FFFFFF"/>
            <w:vAlign w:val="bottom"/>
          </w:tcPr>
          <w:p w14:paraId="22AA34AD"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Maximum / Minimum</w:t>
            </w:r>
          </w:p>
        </w:tc>
        <w:tc>
          <w:tcPr>
            <w:tcW w:w="883" w:type="dxa"/>
            <w:shd w:val="clear" w:color="auto" w:fill="FFFFFF"/>
            <w:vAlign w:val="bottom"/>
          </w:tcPr>
          <w:p w14:paraId="76B39ACD"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Variance</w:t>
            </w:r>
          </w:p>
        </w:tc>
        <w:tc>
          <w:tcPr>
            <w:tcW w:w="988" w:type="dxa"/>
            <w:shd w:val="clear" w:color="auto" w:fill="FFFFFF"/>
            <w:vAlign w:val="bottom"/>
          </w:tcPr>
          <w:p w14:paraId="63468F06"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N of Items</w:t>
            </w:r>
          </w:p>
        </w:tc>
      </w:tr>
      <w:tr w:rsidR="00A61BEB" w:rsidRPr="006D4FF2" w14:paraId="543B7BA1" w14:textId="77777777" w:rsidTr="006D4FF2">
        <w:trPr>
          <w:cantSplit/>
          <w:trHeight w:val="225"/>
          <w:jc w:val="center"/>
        </w:trPr>
        <w:tc>
          <w:tcPr>
            <w:tcW w:w="1870" w:type="dxa"/>
            <w:shd w:val="clear" w:color="auto" w:fill="E0E0E0"/>
          </w:tcPr>
          <w:p w14:paraId="38EC65CB"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Item Means</w:t>
            </w:r>
          </w:p>
        </w:tc>
        <w:tc>
          <w:tcPr>
            <w:tcW w:w="882" w:type="dxa"/>
            <w:shd w:val="clear" w:color="auto" w:fill="FFFFFF"/>
          </w:tcPr>
          <w:p w14:paraId="6009F1F0"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3.709</w:t>
            </w:r>
          </w:p>
        </w:tc>
        <w:tc>
          <w:tcPr>
            <w:tcW w:w="921" w:type="dxa"/>
            <w:shd w:val="clear" w:color="auto" w:fill="FFFFFF"/>
          </w:tcPr>
          <w:p w14:paraId="7893722E"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3.595</w:t>
            </w:r>
          </w:p>
        </w:tc>
        <w:tc>
          <w:tcPr>
            <w:tcW w:w="948" w:type="dxa"/>
            <w:shd w:val="clear" w:color="auto" w:fill="FFFFFF"/>
          </w:tcPr>
          <w:p w14:paraId="4B90416D"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3.793</w:t>
            </w:r>
          </w:p>
        </w:tc>
        <w:tc>
          <w:tcPr>
            <w:tcW w:w="883" w:type="dxa"/>
            <w:shd w:val="clear" w:color="auto" w:fill="FFFFFF"/>
          </w:tcPr>
          <w:p w14:paraId="782AD008"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.198</w:t>
            </w:r>
          </w:p>
        </w:tc>
        <w:tc>
          <w:tcPr>
            <w:tcW w:w="1265" w:type="dxa"/>
            <w:shd w:val="clear" w:color="auto" w:fill="FFFFFF"/>
          </w:tcPr>
          <w:p w14:paraId="1D7BB027"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1.055</w:t>
            </w:r>
          </w:p>
        </w:tc>
        <w:tc>
          <w:tcPr>
            <w:tcW w:w="883" w:type="dxa"/>
            <w:shd w:val="clear" w:color="auto" w:fill="FFFFFF"/>
          </w:tcPr>
          <w:p w14:paraId="2D219BB7"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.004</w:t>
            </w:r>
          </w:p>
        </w:tc>
        <w:tc>
          <w:tcPr>
            <w:tcW w:w="988" w:type="dxa"/>
            <w:shd w:val="clear" w:color="auto" w:fill="FFFFFF"/>
          </w:tcPr>
          <w:p w14:paraId="7D5F8342"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15</w:t>
            </w:r>
          </w:p>
        </w:tc>
      </w:tr>
    </w:tbl>
    <w:p w14:paraId="0E23A659" w14:textId="77777777" w:rsidR="006D4FF2" w:rsidRDefault="006D4FF2" w:rsidP="006D4FF2">
      <w:pPr>
        <w:widowControl/>
        <w:autoSpaceDE/>
        <w:autoSpaceDN/>
        <w:contextualSpacing/>
        <w:jc w:val="both"/>
        <w:rPr>
          <w:rFonts w:ascii="Cambria" w:hAnsi="Cambria"/>
          <w:sz w:val="20"/>
          <w:szCs w:val="20"/>
        </w:rPr>
      </w:pPr>
    </w:p>
    <w:p w14:paraId="3D4572B8" w14:textId="10C26EDC" w:rsidR="00A61BEB" w:rsidRPr="006D4FF2" w:rsidRDefault="00A61BEB" w:rsidP="006D4FF2">
      <w:pPr>
        <w:widowControl/>
        <w:autoSpaceDE/>
        <w:autoSpaceDN/>
        <w:contextualSpacing/>
        <w:jc w:val="both"/>
        <w:rPr>
          <w:rFonts w:ascii="Cambria" w:hAnsi="Cambria"/>
          <w:b/>
          <w:bCs/>
          <w:sz w:val="20"/>
          <w:szCs w:val="20"/>
        </w:rPr>
      </w:pPr>
      <w:r w:rsidRPr="006D4FF2">
        <w:rPr>
          <w:rFonts w:ascii="Cambria" w:hAnsi="Cambria"/>
          <w:b/>
          <w:bCs/>
          <w:sz w:val="20"/>
          <w:szCs w:val="20"/>
        </w:rPr>
        <w:t>3.6.2</w:t>
      </w:r>
      <w:r w:rsidRPr="006D4FF2">
        <w:rPr>
          <w:rFonts w:ascii="Cambria" w:hAnsi="Cambria"/>
          <w:b/>
          <w:bCs/>
          <w:sz w:val="20"/>
          <w:szCs w:val="20"/>
        </w:rPr>
        <w:tab/>
        <w:t>Variable Test</w:t>
      </w:r>
    </w:p>
    <w:p w14:paraId="210A943B" w14:textId="77777777" w:rsidR="006D4FF2" w:rsidRDefault="006D4FF2" w:rsidP="006D4FF2">
      <w:pPr>
        <w:widowControl/>
        <w:autoSpaceDE/>
        <w:autoSpaceDN/>
        <w:contextualSpacing/>
        <w:jc w:val="both"/>
        <w:rPr>
          <w:rFonts w:ascii="Cambria" w:hAnsi="Cambria"/>
          <w:sz w:val="20"/>
          <w:szCs w:val="20"/>
        </w:rPr>
      </w:pPr>
    </w:p>
    <w:p w14:paraId="70FBC2AA" w14:textId="64B579B2" w:rsidR="00A61BEB" w:rsidRPr="006D4FF2" w:rsidRDefault="00A61BEB" w:rsidP="006D4FF2">
      <w:pPr>
        <w:widowControl/>
        <w:autoSpaceDE/>
        <w:autoSpaceDN/>
        <w:contextualSpacing/>
        <w:jc w:val="center"/>
        <w:rPr>
          <w:rFonts w:ascii="Cambria" w:hAnsi="Cambria"/>
          <w:b/>
          <w:bCs/>
          <w:sz w:val="20"/>
          <w:szCs w:val="20"/>
        </w:rPr>
      </w:pPr>
      <w:r w:rsidRPr="006D4FF2">
        <w:rPr>
          <w:rFonts w:ascii="Cambria" w:hAnsi="Cambria"/>
          <w:b/>
          <w:bCs/>
          <w:sz w:val="20"/>
          <w:szCs w:val="20"/>
        </w:rPr>
        <w:t>Table 4: KMO (Variable) Test</w:t>
      </w: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92"/>
        <w:gridCol w:w="2352"/>
        <w:gridCol w:w="1105"/>
      </w:tblGrid>
      <w:tr w:rsidR="00A61BEB" w:rsidRPr="006D4FF2" w14:paraId="2505845B" w14:textId="77777777" w:rsidTr="00213C93">
        <w:trPr>
          <w:cantSplit/>
          <w:jc w:val="center"/>
        </w:trPr>
        <w:tc>
          <w:tcPr>
            <w:tcW w:w="5949" w:type="dxa"/>
            <w:gridSpan w:val="3"/>
            <w:shd w:val="clear" w:color="auto" w:fill="FFFFFF"/>
            <w:vAlign w:val="center"/>
          </w:tcPr>
          <w:p w14:paraId="30A780D0"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KMO and Bartlett's Test</w:t>
            </w:r>
          </w:p>
        </w:tc>
      </w:tr>
      <w:tr w:rsidR="00A61BEB" w:rsidRPr="006D4FF2" w14:paraId="7939EBC5" w14:textId="77777777" w:rsidTr="00213C93">
        <w:trPr>
          <w:cantSplit/>
          <w:jc w:val="center"/>
        </w:trPr>
        <w:tc>
          <w:tcPr>
            <w:tcW w:w="4844" w:type="dxa"/>
            <w:gridSpan w:val="2"/>
            <w:shd w:val="clear" w:color="auto" w:fill="E0E0E0"/>
          </w:tcPr>
          <w:p w14:paraId="5FB353E6"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Kaiser-Meyer-Olkin Measure of Sampling Adequacy.</w:t>
            </w:r>
          </w:p>
        </w:tc>
        <w:tc>
          <w:tcPr>
            <w:tcW w:w="1105" w:type="dxa"/>
            <w:shd w:val="clear" w:color="auto" w:fill="FFFFFF"/>
          </w:tcPr>
          <w:p w14:paraId="7DA68B46"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.509</w:t>
            </w:r>
          </w:p>
        </w:tc>
      </w:tr>
      <w:tr w:rsidR="00A61BEB" w:rsidRPr="006D4FF2" w14:paraId="24127D3B" w14:textId="77777777" w:rsidTr="00213C93">
        <w:trPr>
          <w:cantSplit/>
          <w:jc w:val="center"/>
        </w:trPr>
        <w:tc>
          <w:tcPr>
            <w:tcW w:w="2492" w:type="dxa"/>
            <w:vMerge w:val="restart"/>
            <w:shd w:val="clear" w:color="auto" w:fill="E0E0E0"/>
          </w:tcPr>
          <w:p w14:paraId="3E16E1C6"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Bartlett's Test of Sphericity</w:t>
            </w:r>
          </w:p>
        </w:tc>
        <w:tc>
          <w:tcPr>
            <w:tcW w:w="2352" w:type="dxa"/>
            <w:shd w:val="clear" w:color="auto" w:fill="E0E0E0"/>
          </w:tcPr>
          <w:p w14:paraId="0EE0307D"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Approx. Chi-Square</w:t>
            </w:r>
          </w:p>
        </w:tc>
        <w:tc>
          <w:tcPr>
            <w:tcW w:w="1105" w:type="dxa"/>
            <w:shd w:val="clear" w:color="auto" w:fill="FFFFFF"/>
          </w:tcPr>
          <w:p w14:paraId="49B0F0CB"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1151.582</w:t>
            </w:r>
          </w:p>
        </w:tc>
      </w:tr>
      <w:tr w:rsidR="00A61BEB" w:rsidRPr="006D4FF2" w14:paraId="328E57AB" w14:textId="77777777" w:rsidTr="00213C93">
        <w:trPr>
          <w:cantSplit/>
          <w:jc w:val="center"/>
        </w:trPr>
        <w:tc>
          <w:tcPr>
            <w:tcW w:w="2492" w:type="dxa"/>
            <w:vMerge/>
            <w:shd w:val="clear" w:color="auto" w:fill="E0E0E0"/>
          </w:tcPr>
          <w:p w14:paraId="745AFFF8" w14:textId="77777777" w:rsidR="00A61BEB" w:rsidRPr="006D4FF2" w:rsidRDefault="00A61BEB" w:rsidP="006D4FF2">
            <w:pPr>
              <w:widowControl/>
              <w:autoSpaceDE/>
              <w:autoSpaceDN/>
              <w:contextualSpacing/>
              <w:jc w:val="both"/>
              <w:rPr>
                <w:rFonts w:ascii="Cambria" w:hAnsi="Cambria"/>
                <w:sz w:val="20"/>
                <w:szCs w:val="20"/>
              </w:rPr>
            </w:pPr>
          </w:p>
        </w:tc>
        <w:tc>
          <w:tcPr>
            <w:tcW w:w="2352" w:type="dxa"/>
            <w:shd w:val="clear" w:color="auto" w:fill="E0E0E0"/>
          </w:tcPr>
          <w:p w14:paraId="621ACE7E"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Df</w:t>
            </w:r>
          </w:p>
        </w:tc>
        <w:tc>
          <w:tcPr>
            <w:tcW w:w="1105" w:type="dxa"/>
            <w:shd w:val="clear" w:color="auto" w:fill="FFFFFF"/>
          </w:tcPr>
          <w:p w14:paraId="3970AC4A"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105</w:t>
            </w:r>
          </w:p>
        </w:tc>
      </w:tr>
      <w:tr w:rsidR="00A61BEB" w:rsidRPr="006D4FF2" w14:paraId="396D1A0C" w14:textId="77777777" w:rsidTr="00213C93">
        <w:trPr>
          <w:cantSplit/>
          <w:jc w:val="center"/>
        </w:trPr>
        <w:tc>
          <w:tcPr>
            <w:tcW w:w="2492" w:type="dxa"/>
            <w:vMerge/>
            <w:shd w:val="clear" w:color="auto" w:fill="E0E0E0"/>
          </w:tcPr>
          <w:p w14:paraId="19C60B39" w14:textId="77777777" w:rsidR="00A61BEB" w:rsidRPr="006D4FF2" w:rsidRDefault="00A61BEB" w:rsidP="006D4FF2">
            <w:pPr>
              <w:widowControl/>
              <w:autoSpaceDE/>
              <w:autoSpaceDN/>
              <w:contextualSpacing/>
              <w:jc w:val="both"/>
              <w:rPr>
                <w:rFonts w:ascii="Cambria" w:hAnsi="Cambria"/>
                <w:sz w:val="20"/>
                <w:szCs w:val="20"/>
              </w:rPr>
            </w:pPr>
          </w:p>
        </w:tc>
        <w:tc>
          <w:tcPr>
            <w:tcW w:w="2352" w:type="dxa"/>
            <w:shd w:val="clear" w:color="auto" w:fill="E0E0E0"/>
          </w:tcPr>
          <w:p w14:paraId="5DA943DA"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Sig.</w:t>
            </w:r>
          </w:p>
        </w:tc>
        <w:tc>
          <w:tcPr>
            <w:tcW w:w="1105" w:type="dxa"/>
            <w:shd w:val="clear" w:color="auto" w:fill="FFFFFF"/>
          </w:tcPr>
          <w:p w14:paraId="419CDA3C"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.000</w:t>
            </w:r>
          </w:p>
        </w:tc>
      </w:tr>
    </w:tbl>
    <w:p w14:paraId="379029FC" w14:textId="77777777" w:rsidR="00A61BEB" w:rsidRDefault="00A61BEB" w:rsidP="006D4FF2">
      <w:pPr>
        <w:widowControl/>
        <w:autoSpaceDE/>
        <w:autoSpaceDN/>
        <w:contextualSpacing/>
        <w:jc w:val="both"/>
        <w:rPr>
          <w:rFonts w:ascii="Cambria" w:hAnsi="Cambria"/>
          <w:sz w:val="20"/>
          <w:szCs w:val="20"/>
        </w:rPr>
      </w:pPr>
    </w:p>
    <w:p w14:paraId="2181E716" w14:textId="77777777" w:rsidR="00A61BEB" w:rsidRP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As getting the significant value (p &lt; 0.05), this shows that all variables, those are including in the research study are mutually good. There is the value of KMO (Laiser-Meyer-Olkin) test is greater than 0.50, this demonstrates the applicability of the variables for the further study.  </w:t>
      </w:r>
    </w:p>
    <w:p w14:paraId="4390D008" w14:textId="77777777" w:rsidR="006D4FF2"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 </w:t>
      </w:r>
    </w:p>
    <w:p w14:paraId="17CAB31A" w14:textId="55414214" w:rsidR="00A61BEB" w:rsidRPr="006D4FF2" w:rsidRDefault="00A61BEB" w:rsidP="006D4FF2">
      <w:pPr>
        <w:widowControl/>
        <w:autoSpaceDE/>
        <w:autoSpaceDN/>
        <w:contextualSpacing/>
        <w:jc w:val="both"/>
        <w:rPr>
          <w:rFonts w:ascii="Cambria" w:hAnsi="Cambria"/>
          <w:b/>
          <w:bCs/>
          <w:sz w:val="20"/>
          <w:szCs w:val="20"/>
        </w:rPr>
      </w:pPr>
      <w:r w:rsidRPr="006D4FF2">
        <w:rPr>
          <w:rFonts w:ascii="Cambria" w:hAnsi="Cambria"/>
          <w:b/>
          <w:bCs/>
          <w:sz w:val="20"/>
          <w:szCs w:val="20"/>
        </w:rPr>
        <w:t>1.6.2</w:t>
      </w:r>
      <w:r w:rsidRPr="006D4FF2">
        <w:rPr>
          <w:rFonts w:ascii="Cambria" w:hAnsi="Cambria"/>
          <w:b/>
          <w:bCs/>
          <w:sz w:val="20"/>
          <w:szCs w:val="20"/>
        </w:rPr>
        <w:tab/>
        <w:t>Interclass Coefficient Test</w:t>
      </w:r>
    </w:p>
    <w:p w14:paraId="08F69AD1" w14:textId="77777777" w:rsidR="006D4FF2" w:rsidRDefault="006D4FF2" w:rsidP="006D4FF2">
      <w:pPr>
        <w:widowControl/>
        <w:autoSpaceDE/>
        <w:autoSpaceDN/>
        <w:contextualSpacing/>
        <w:jc w:val="both"/>
        <w:rPr>
          <w:rFonts w:ascii="Cambria" w:hAnsi="Cambria"/>
          <w:sz w:val="20"/>
          <w:szCs w:val="20"/>
        </w:rPr>
      </w:pPr>
    </w:p>
    <w:p w14:paraId="4B46F468" w14:textId="2D43468F" w:rsidR="00A61BEB" w:rsidRPr="006D4FF2" w:rsidRDefault="00A61BEB" w:rsidP="006D4FF2">
      <w:pPr>
        <w:widowControl/>
        <w:autoSpaceDE/>
        <w:autoSpaceDN/>
        <w:contextualSpacing/>
        <w:jc w:val="center"/>
        <w:rPr>
          <w:rFonts w:ascii="Cambria" w:hAnsi="Cambria"/>
          <w:b/>
          <w:bCs/>
          <w:sz w:val="20"/>
          <w:szCs w:val="20"/>
        </w:rPr>
      </w:pPr>
      <w:r w:rsidRPr="006D4FF2">
        <w:rPr>
          <w:rFonts w:ascii="Cambria" w:hAnsi="Cambria"/>
          <w:b/>
          <w:bCs/>
          <w:sz w:val="20"/>
          <w:szCs w:val="20"/>
        </w:rPr>
        <w:t>Table 5: Intraclass Correlation Coefficient Test</w:t>
      </w:r>
    </w:p>
    <w:tbl>
      <w:tblPr>
        <w:tblW w:w="43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33"/>
        <w:gridCol w:w="1216"/>
        <w:gridCol w:w="1164"/>
        <w:gridCol w:w="1165"/>
        <w:gridCol w:w="849"/>
        <w:gridCol w:w="849"/>
        <w:gridCol w:w="849"/>
        <w:gridCol w:w="845"/>
      </w:tblGrid>
      <w:tr w:rsidR="00A61BEB" w:rsidRPr="006D4FF2" w14:paraId="46507CC7" w14:textId="77777777" w:rsidTr="006D4FF2">
        <w:trPr>
          <w:cantSplit/>
          <w:trHeight w:val="502"/>
          <w:jc w:val="center"/>
        </w:trPr>
        <w:tc>
          <w:tcPr>
            <w:tcW w:w="5000" w:type="pct"/>
            <w:gridSpan w:val="8"/>
            <w:shd w:val="clear" w:color="auto" w:fill="FFFFFF"/>
            <w:vAlign w:val="center"/>
          </w:tcPr>
          <w:p w14:paraId="234FC54A"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Intraclass Correlation Coefficient</w:t>
            </w:r>
          </w:p>
        </w:tc>
      </w:tr>
      <w:tr w:rsidR="00A61BEB" w:rsidRPr="006D4FF2" w14:paraId="0F8E6932" w14:textId="77777777" w:rsidTr="006D4FF2">
        <w:trPr>
          <w:cantSplit/>
          <w:trHeight w:val="529"/>
          <w:jc w:val="center"/>
        </w:trPr>
        <w:tc>
          <w:tcPr>
            <w:tcW w:w="905" w:type="pct"/>
            <w:vMerge w:val="restart"/>
            <w:shd w:val="clear" w:color="auto" w:fill="FFFFFF"/>
            <w:vAlign w:val="bottom"/>
          </w:tcPr>
          <w:p w14:paraId="18CFB06B" w14:textId="77777777" w:rsidR="00A61BEB" w:rsidRPr="006D4FF2" w:rsidRDefault="00A61BEB" w:rsidP="006D4FF2">
            <w:pPr>
              <w:widowControl/>
              <w:autoSpaceDE/>
              <w:autoSpaceDN/>
              <w:contextualSpacing/>
              <w:jc w:val="both"/>
              <w:rPr>
                <w:rFonts w:ascii="Cambria" w:hAnsi="Cambria"/>
                <w:sz w:val="20"/>
                <w:szCs w:val="20"/>
              </w:rPr>
            </w:pPr>
          </w:p>
        </w:tc>
        <w:tc>
          <w:tcPr>
            <w:tcW w:w="718" w:type="pct"/>
            <w:vMerge w:val="restart"/>
            <w:shd w:val="clear" w:color="auto" w:fill="FFFFFF"/>
            <w:vAlign w:val="bottom"/>
          </w:tcPr>
          <w:p w14:paraId="72AFAF57"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Intraclass Correlationb</w:t>
            </w:r>
          </w:p>
        </w:tc>
        <w:tc>
          <w:tcPr>
            <w:tcW w:w="1374" w:type="pct"/>
            <w:gridSpan w:val="2"/>
            <w:shd w:val="clear" w:color="auto" w:fill="FFFFFF"/>
            <w:vAlign w:val="bottom"/>
          </w:tcPr>
          <w:p w14:paraId="58E69ED4"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95% Confidence Interval</w:t>
            </w:r>
          </w:p>
        </w:tc>
        <w:tc>
          <w:tcPr>
            <w:tcW w:w="2002" w:type="pct"/>
            <w:gridSpan w:val="4"/>
            <w:shd w:val="clear" w:color="auto" w:fill="FFFFFF"/>
            <w:vAlign w:val="bottom"/>
          </w:tcPr>
          <w:p w14:paraId="22681F88"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F Test with True Value 0</w:t>
            </w:r>
          </w:p>
        </w:tc>
      </w:tr>
      <w:tr w:rsidR="006D4FF2" w:rsidRPr="006D4FF2" w14:paraId="2858F000" w14:textId="77777777" w:rsidTr="006D4FF2">
        <w:trPr>
          <w:cantSplit/>
          <w:trHeight w:val="317"/>
          <w:jc w:val="center"/>
        </w:trPr>
        <w:tc>
          <w:tcPr>
            <w:tcW w:w="905" w:type="pct"/>
            <w:vMerge/>
            <w:shd w:val="clear" w:color="auto" w:fill="FFFFFF"/>
            <w:vAlign w:val="bottom"/>
          </w:tcPr>
          <w:p w14:paraId="65664CE6" w14:textId="77777777" w:rsidR="00A61BEB" w:rsidRPr="006D4FF2" w:rsidRDefault="00A61BEB" w:rsidP="006D4FF2">
            <w:pPr>
              <w:widowControl/>
              <w:autoSpaceDE/>
              <w:autoSpaceDN/>
              <w:contextualSpacing/>
              <w:jc w:val="both"/>
              <w:rPr>
                <w:rFonts w:ascii="Cambria" w:hAnsi="Cambria"/>
                <w:sz w:val="20"/>
                <w:szCs w:val="20"/>
              </w:rPr>
            </w:pPr>
          </w:p>
        </w:tc>
        <w:tc>
          <w:tcPr>
            <w:tcW w:w="718" w:type="pct"/>
            <w:vMerge/>
            <w:shd w:val="clear" w:color="auto" w:fill="FFFFFF"/>
            <w:vAlign w:val="bottom"/>
          </w:tcPr>
          <w:p w14:paraId="20A0F411" w14:textId="77777777" w:rsidR="00A61BEB" w:rsidRPr="006D4FF2" w:rsidRDefault="00A61BEB" w:rsidP="006D4FF2">
            <w:pPr>
              <w:widowControl/>
              <w:autoSpaceDE/>
              <w:autoSpaceDN/>
              <w:contextualSpacing/>
              <w:jc w:val="both"/>
              <w:rPr>
                <w:rFonts w:ascii="Cambria" w:hAnsi="Cambria"/>
                <w:sz w:val="20"/>
                <w:szCs w:val="20"/>
              </w:rPr>
            </w:pPr>
          </w:p>
        </w:tc>
        <w:tc>
          <w:tcPr>
            <w:tcW w:w="687" w:type="pct"/>
            <w:shd w:val="clear" w:color="auto" w:fill="FFFFFF"/>
            <w:vAlign w:val="bottom"/>
          </w:tcPr>
          <w:p w14:paraId="59BFE1DA"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Lower Bound</w:t>
            </w:r>
          </w:p>
        </w:tc>
        <w:tc>
          <w:tcPr>
            <w:tcW w:w="688" w:type="pct"/>
            <w:shd w:val="clear" w:color="auto" w:fill="FFFFFF"/>
            <w:vAlign w:val="bottom"/>
          </w:tcPr>
          <w:p w14:paraId="31485272"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Upper Bound</w:t>
            </w:r>
          </w:p>
        </w:tc>
        <w:tc>
          <w:tcPr>
            <w:tcW w:w="501" w:type="pct"/>
            <w:shd w:val="clear" w:color="auto" w:fill="FFFFFF"/>
            <w:vAlign w:val="bottom"/>
          </w:tcPr>
          <w:p w14:paraId="3E8FA89F"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Value</w:t>
            </w:r>
          </w:p>
        </w:tc>
        <w:tc>
          <w:tcPr>
            <w:tcW w:w="501" w:type="pct"/>
            <w:shd w:val="clear" w:color="auto" w:fill="FFFFFF"/>
            <w:vAlign w:val="bottom"/>
          </w:tcPr>
          <w:p w14:paraId="2844A0FF"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df1</w:t>
            </w:r>
          </w:p>
        </w:tc>
        <w:tc>
          <w:tcPr>
            <w:tcW w:w="501" w:type="pct"/>
            <w:shd w:val="clear" w:color="auto" w:fill="FFFFFF"/>
            <w:vAlign w:val="bottom"/>
          </w:tcPr>
          <w:p w14:paraId="6BE12A2E"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df2</w:t>
            </w:r>
          </w:p>
        </w:tc>
        <w:tc>
          <w:tcPr>
            <w:tcW w:w="499" w:type="pct"/>
            <w:shd w:val="clear" w:color="auto" w:fill="FFFFFF"/>
            <w:vAlign w:val="bottom"/>
          </w:tcPr>
          <w:p w14:paraId="381C14DB"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Sig</w:t>
            </w:r>
          </w:p>
        </w:tc>
      </w:tr>
      <w:tr w:rsidR="006D4FF2" w:rsidRPr="006D4FF2" w14:paraId="5584ED71" w14:textId="77777777" w:rsidTr="006D4FF2">
        <w:trPr>
          <w:cantSplit/>
          <w:trHeight w:val="502"/>
          <w:jc w:val="center"/>
        </w:trPr>
        <w:tc>
          <w:tcPr>
            <w:tcW w:w="905" w:type="pct"/>
            <w:shd w:val="clear" w:color="auto" w:fill="E0E0E0"/>
          </w:tcPr>
          <w:p w14:paraId="76FBECB0"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Single Measures</w:t>
            </w:r>
          </w:p>
        </w:tc>
        <w:tc>
          <w:tcPr>
            <w:tcW w:w="718" w:type="pct"/>
            <w:shd w:val="clear" w:color="auto" w:fill="FFFFFF"/>
          </w:tcPr>
          <w:p w14:paraId="39B42116"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.164a</w:t>
            </w:r>
          </w:p>
        </w:tc>
        <w:tc>
          <w:tcPr>
            <w:tcW w:w="687" w:type="pct"/>
            <w:shd w:val="clear" w:color="auto" w:fill="FFFFFF"/>
          </w:tcPr>
          <w:p w14:paraId="4E661A4A"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.122</w:t>
            </w:r>
          </w:p>
        </w:tc>
        <w:tc>
          <w:tcPr>
            <w:tcW w:w="688" w:type="pct"/>
            <w:shd w:val="clear" w:color="auto" w:fill="FFFFFF"/>
          </w:tcPr>
          <w:p w14:paraId="3E0B65CB"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.219</w:t>
            </w:r>
          </w:p>
        </w:tc>
        <w:tc>
          <w:tcPr>
            <w:tcW w:w="501" w:type="pct"/>
            <w:shd w:val="clear" w:color="auto" w:fill="FFFFFF"/>
          </w:tcPr>
          <w:p w14:paraId="564CFF93"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3.945</w:t>
            </w:r>
          </w:p>
        </w:tc>
        <w:tc>
          <w:tcPr>
            <w:tcW w:w="501" w:type="pct"/>
            <w:shd w:val="clear" w:color="auto" w:fill="FFFFFF"/>
          </w:tcPr>
          <w:p w14:paraId="62F59AA5"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120</w:t>
            </w:r>
          </w:p>
        </w:tc>
        <w:tc>
          <w:tcPr>
            <w:tcW w:w="501" w:type="pct"/>
            <w:shd w:val="clear" w:color="auto" w:fill="FFFFFF"/>
          </w:tcPr>
          <w:p w14:paraId="033A8988"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1680</w:t>
            </w:r>
          </w:p>
        </w:tc>
        <w:tc>
          <w:tcPr>
            <w:tcW w:w="499" w:type="pct"/>
            <w:shd w:val="clear" w:color="auto" w:fill="FFFFFF"/>
          </w:tcPr>
          <w:p w14:paraId="77BAD4DC"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.000</w:t>
            </w:r>
          </w:p>
        </w:tc>
      </w:tr>
      <w:tr w:rsidR="006D4FF2" w:rsidRPr="006D4FF2" w14:paraId="05469155" w14:textId="77777777" w:rsidTr="006D4FF2">
        <w:trPr>
          <w:cantSplit/>
          <w:trHeight w:val="529"/>
          <w:jc w:val="center"/>
        </w:trPr>
        <w:tc>
          <w:tcPr>
            <w:tcW w:w="905" w:type="pct"/>
            <w:shd w:val="clear" w:color="auto" w:fill="E0E0E0"/>
          </w:tcPr>
          <w:p w14:paraId="6795D9A5"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Average Measures</w:t>
            </w:r>
          </w:p>
        </w:tc>
        <w:tc>
          <w:tcPr>
            <w:tcW w:w="718" w:type="pct"/>
            <w:shd w:val="clear" w:color="auto" w:fill="FFFFFF"/>
          </w:tcPr>
          <w:p w14:paraId="7ACB87B9"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.747c</w:t>
            </w:r>
          </w:p>
        </w:tc>
        <w:tc>
          <w:tcPr>
            <w:tcW w:w="687" w:type="pct"/>
            <w:shd w:val="clear" w:color="auto" w:fill="FFFFFF"/>
          </w:tcPr>
          <w:p w14:paraId="6D22BCEA"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.675</w:t>
            </w:r>
          </w:p>
        </w:tc>
        <w:tc>
          <w:tcPr>
            <w:tcW w:w="688" w:type="pct"/>
            <w:shd w:val="clear" w:color="auto" w:fill="FFFFFF"/>
          </w:tcPr>
          <w:p w14:paraId="68B64ED2"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.808</w:t>
            </w:r>
          </w:p>
        </w:tc>
        <w:tc>
          <w:tcPr>
            <w:tcW w:w="501" w:type="pct"/>
            <w:shd w:val="clear" w:color="auto" w:fill="FFFFFF"/>
          </w:tcPr>
          <w:p w14:paraId="34FACB32"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3.945</w:t>
            </w:r>
          </w:p>
        </w:tc>
        <w:tc>
          <w:tcPr>
            <w:tcW w:w="501" w:type="pct"/>
            <w:shd w:val="clear" w:color="auto" w:fill="FFFFFF"/>
          </w:tcPr>
          <w:p w14:paraId="14520F23"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120</w:t>
            </w:r>
          </w:p>
        </w:tc>
        <w:tc>
          <w:tcPr>
            <w:tcW w:w="501" w:type="pct"/>
            <w:shd w:val="clear" w:color="auto" w:fill="FFFFFF"/>
          </w:tcPr>
          <w:p w14:paraId="2B1B809E"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1680</w:t>
            </w:r>
          </w:p>
        </w:tc>
        <w:tc>
          <w:tcPr>
            <w:tcW w:w="499" w:type="pct"/>
            <w:shd w:val="clear" w:color="auto" w:fill="FFFFFF"/>
          </w:tcPr>
          <w:p w14:paraId="5921EB23"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.000</w:t>
            </w:r>
          </w:p>
        </w:tc>
      </w:tr>
      <w:tr w:rsidR="00A61BEB" w:rsidRPr="006D4FF2" w14:paraId="27FC8BC2" w14:textId="77777777" w:rsidTr="006D4FF2">
        <w:trPr>
          <w:cantSplit/>
          <w:trHeight w:val="502"/>
          <w:jc w:val="center"/>
        </w:trPr>
        <w:tc>
          <w:tcPr>
            <w:tcW w:w="5000" w:type="pct"/>
            <w:gridSpan w:val="8"/>
            <w:shd w:val="clear" w:color="auto" w:fill="FFFFFF"/>
          </w:tcPr>
          <w:p w14:paraId="7F4227C4"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Two-way mixed effects model where people effects are random and measures effects are fixed.</w:t>
            </w:r>
          </w:p>
        </w:tc>
      </w:tr>
      <w:tr w:rsidR="00A61BEB" w:rsidRPr="006D4FF2" w14:paraId="39DA526F" w14:textId="77777777" w:rsidTr="006D4FF2">
        <w:trPr>
          <w:cantSplit/>
          <w:trHeight w:val="502"/>
          <w:jc w:val="center"/>
        </w:trPr>
        <w:tc>
          <w:tcPr>
            <w:tcW w:w="5000" w:type="pct"/>
            <w:gridSpan w:val="8"/>
            <w:shd w:val="clear" w:color="auto" w:fill="FFFFFF"/>
          </w:tcPr>
          <w:p w14:paraId="1E8A4734"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lastRenderedPageBreak/>
              <w:t>a. The estimator is the same, whether the interaction effect is present or not.</w:t>
            </w:r>
          </w:p>
        </w:tc>
      </w:tr>
      <w:tr w:rsidR="00A61BEB" w:rsidRPr="006D4FF2" w14:paraId="1CCC9A74" w14:textId="77777777" w:rsidTr="006D4FF2">
        <w:trPr>
          <w:cantSplit/>
          <w:trHeight w:val="1032"/>
          <w:jc w:val="center"/>
        </w:trPr>
        <w:tc>
          <w:tcPr>
            <w:tcW w:w="5000" w:type="pct"/>
            <w:gridSpan w:val="8"/>
            <w:shd w:val="clear" w:color="auto" w:fill="FFFFFF"/>
          </w:tcPr>
          <w:p w14:paraId="07993D2D"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b. Type C intraclass correlation coefficients using a consistency definition. The between-measure variance is excluded from the denominator variance.</w:t>
            </w:r>
          </w:p>
        </w:tc>
      </w:tr>
      <w:tr w:rsidR="00A61BEB" w:rsidRPr="006D4FF2" w14:paraId="7BD4D216" w14:textId="77777777" w:rsidTr="006D4FF2">
        <w:trPr>
          <w:cantSplit/>
          <w:trHeight w:val="529"/>
          <w:jc w:val="center"/>
        </w:trPr>
        <w:tc>
          <w:tcPr>
            <w:tcW w:w="5000" w:type="pct"/>
            <w:gridSpan w:val="8"/>
            <w:shd w:val="clear" w:color="auto" w:fill="FFFFFF"/>
          </w:tcPr>
          <w:p w14:paraId="704E02F8"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c. This estimate is computed assuming the interaction effect is absent, because it is not estimable otherwise.</w:t>
            </w:r>
          </w:p>
        </w:tc>
      </w:tr>
    </w:tbl>
    <w:p w14:paraId="4E6C1433" w14:textId="77777777" w:rsidR="00A61BEB" w:rsidRDefault="00A61BEB" w:rsidP="006D4FF2">
      <w:pPr>
        <w:widowControl/>
        <w:autoSpaceDE/>
        <w:autoSpaceDN/>
        <w:contextualSpacing/>
        <w:jc w:val="both"/>
        <w:rPr>
          <w:rFonts w:ascii="Cambria" w:hAnsi="Cambria"/>
          <w:sz w:val="20"/>
          <w:szCs w:val="20"/>
        </w:rPr>
      </w:pPr>
    </w:p>
    <w:p w14:paraId="75D64AD0" w14:textId="77777777" w:rsidR="00A61BEB" w:rsidRP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By applying the intraclass correlation coefficient test, it is interpreted that, as mentioned, the lower and upper bound limits indicate that all corresponding variables are correlated, because the p-value is 0.00 (&lt; 0.05).  </w:t>
      </w:r>
    </w:p>
    <w:p w14:paraId="3901097F" w14:textId="77777777" w:rsidR="00A61BEB" w:rsidRP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 </w:t>
      </w:r>
    </w:p>
    <w:p w14:paraId="77D61165" w14:textId="77777777" w:rsidR="00A61BEB" w:rsidRP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3.6.4 Regression Test</w:t>
      </w:r>
    </w:p>
    <w:p w14:paraId="6A663BBC" w14:textId="637D98CA" w:rsidR="00A61BEB" w:rsidRPr="006D4FF2" w:rsidRDefault="00A61BEB" w:rsidP="006D4FF2">
      <w:pPr>
        <w:pStyle w:val="ListParagraph"/>
        <w:widowControl/>
        <w:numPr>
          <w:ilvl w:val="0"/>
          <w:numId w:val="15"/>
        </w:numPr>
        <w:autoSpaceDE/>
        <w:autoSpaceDN/>
        <w:contextualSpacing/>
        <w:rPr>
          <w:rFonts w:ascii="Cambria" w:hAnsi="Cambria"/>
          <w:sz w:val="20"/>
          <w:szCs w:val="20"/>
        </w:rPr>
      </w:pPr>
      <w:r w:rsidRPr="006D4FF2">
        <w:rPr>
          <w:rFonts w:ascii="Cambria" w:hAnsi="Cambria"/>
          <w:sz w:val="20"/>
          <w:szCs w:val="20"/>
        </w:rPr>
        <w:t>There are three variables which are noted as:</w:t>
      </w:r>
    </w:p>
    <w:p w14:paraId="6F0E98CD" w14:textId="36C336AF" w:rsidR="00A61BEB" w:rsidRPr="006D4FF2" w:rsidRDefault="00A61BEB" w:rsidP="006D4FF2">
      <w:pPr>
        <w:pStyle w:val="ListParagraph"/>
        <w:widowControl/>
        <w:numPr>
          <w:ilvl w:val="0"/>
          <w:numId w:val="15"/>
        </w:numPr>
        <w:autoSpaceDE/>
        <w:autoSpaceDN/>
        <w:contextualSpacing/>
        <w:rPr>
          <w:rFonts w:ascii="Cambria" w:hAnsi="Cambria"/>
          <w:sz w:val="20"/>
          <w:szCs w:val="20"/>
        </w:rPr>
      </w:pPr>
      <w:r w:rsidRPr="006D4FF2">
        <w:rPr>
          <w:rFonts w:ascii="Cambria" w:hAnsi="Cambria"/>
          <w:sz w:val="20"/>
          <w:szCs w:val="20"/>
        </w:rPr>
        <w:t>C1: Noted as International Trade of India</w:t>
      </w:r>
    </w:p>
    <w:p w14:paraId="1E08D3D4" w14:textId="5C94E2EE" w:rsidR="00A61BEB" w:rsidRPr="006D4FF2" w:rsidRDefault="00A61BEB" w:rsidP="006D4FF2">
      <w:pPr>
        <w:pStyle w:val="ListParagraph"/>
        <w:widowControl/>
        <w:numPr>
          <w:ilvl w:val="0"/>
          <w:numId w:val="15"/>
        </w:numPr>
        <w:autoSpaceDE/>
        <w:autoSpaceDN/>
        <w:contextualSpacing/>
        <w:rPr>
          <w:rFonts w:ascii="Cambria" w:hAnsi="Cambria"/>
          <w:sz w:val="20"/>
          <w:szCs w:val="20"/>
        </w:rPr>
      </w:pPr>
      <w:r w:rsidRPr="006D4FF2">
        <w:rPr>
          <w:rFonts w:ascii="Cambria" w:hAnsi="Cambria"/>
          <w:sz w:val="20"/>
          <w:szCs w:val="20"/>
        </w:rPr>
        <w:t>C2: Noted as Geopolitical Disturbance</w:t>
      </w:r>
    </w:p>
    <w:p w14:paraId="53B34075" w14:textId="34DA532C" w:rsidR="00A61BEB" w:rsidRPr="006D4FF2" w:rsidRDefault="00A61BEB" w:rsidP="006D4FF2">
      <w:pPr>
        <w:pStyle w:val="ListParagraph"/>
        <w:widowControl/>
        <w:numPr>
          <w:ilvl w:val="0"/>
          <w:numId w:val="15"/>
        </w:numPr>
        <w:autoSpaceDE/>
        <w:autoSpaceDN/>
        <w:contextualSpacing/>
        <w:rPr>
          <w:rFonts w:ascii="Cambria" w:hAnsi="Cambria"/>
          <w:sz w:val="20"/>
          <w:szCs w:val="20"/>
        </w:rPr>
      </w:pPr>
      <w:r w:rsidRPr="006D4FF2">
        <w:rPr>
          <w:rFonts w:ascii="Cambria" w:hAnsi="Cambria"/>
          <w:sz w:val="20"/>
          <w:szCs w:val="20"/>
        </w:rPr>
        <w:t>C3: Noted as International Trade Instability</w:t>
      </w:r>
    </w:p>
    <w:p w14:paraId="1EBCBD8B" w14:textId="17B9EEC5" w:rsidR="00A61BEB" w:rsidRPr="006D4FF2" w:rsidRDefault="00A61BEB" w:rsidP="006D4FF2">
      <w:pPr>
        <w:pStyle w:val="ListParagraph"/>
        <w:widowControl/>
        <w:numPr>
          <w:ilvl w:val="0"/>
          <w:numId w:val="15"/>
        </w:numPr>
        <w:autoSpaceDE/>
        <w:autoSpaceDN/>
        <w:contextualSpacing/>
        <w:rPr>
          <w:rFonts w:ascii="Cambria" w:hAnsi="Cambria"/>
          <w:sz w:val="20"/>
          <w:szCs w:val="20"/>
        </w:rPr>
      </w:pPr>
      <w:r w:rsidRPr="006D4FF2">
        <w:rPr>
          <w:rFonts w:ascii="Cambria" w:hAnsi="Cambria"/>
          <w:sz w:val="20"/>
          <w:szCs w:val="20"/>
        </w:rPr>
        <w:t>HA1: Geopolitical disturbances are significantly affected international trade of India.</w:t>
      </w:r>
    </w:p>
    <w:p w14:paraId="7ABF1A4E" w14:textId="77777777" w:rsidR="006D4FF2" w:rsidRDefault="006D4FF2" w:rsidP="006D4FF2">
      <w:pPr>
        <w:widowControl/>
        <w:autoSpaceDE/>
        <w:autoSpaceDN/>
        <w:contextualSpacing/>
        <w:jc w:val="both"/>
        <w:rPr>
          <w:rFonts w:ascii="Cambria" w:hAnsi="Cambria"/>
          <w:sz w:val="20"/>
          <w:szCs w:val="20"/>
        </w:rPr>
      </w:pPr>
    </w:p>
    <w:p w14:paraId="67A1B0C1" w14:textId="6449B55A" w:rsidR="00A61BEB" w:rsidRPr="006D4FF2" w:rsidRDefault="00A61BEB" w:rsidP="006D4FF2">
      <w:pPr>
        <w:widowControl/>
        <w:autoSpaceDE/>
        <w:autoSpaceDN/>
        <w:contextualSpacing/>
        <w:jc w:val="center"/>
        <w:rPr>
          <w:rFonts w:ascii="Cambria" w:hAnsi="Cambria"/>
          <w:b/>
          <w:bCs/>
          <w:sz w:val="20"/>
          <w:szCs w:val="20"/>
        </w:rPr>
      </w:pPr>
      <w:r w:rsidRPr="006D4FF2">
        <w:rPr>
          <w:rFonts w:ascii="Cambria" w:hAnsi="Cambria"/>
          <w:b/>
          <w:bCs/>
          <w:sz w:val="20"/>
          <w:szCs w:val="20"/>
        </w:rPr>
        <w:t>Table 6: Variables</w:t>
      </w:r>
    </w:p>
    <w:tbl>
      <w:tblPr>
        <w:tblW w:w="4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9"/>
        <w:gridCol w:w="1476"/>
        <w:gridCol w:w="1476"/>
        <w:gridCol w:w="1029"/>
      </w:tblGrid>
      <w:tr w:rsidR="00A61BEB" w:rsidRPr="006D4FF2" w14:paraId="54C2C2D5" w14:textId="77777777" w:rsidTr="00213C93">
        <w:trPr>
          <w:cantSplit/>
          <w:jc w:val="center"/>
        </w:trPr>
        <w:tc>
          <w:tcPr>
            <w:tcW w:w="4778" w:type="dxa"/>
            <w:gridSpan w:val="4"/>
            <w:shd w:val="clear" w:color="auto" w:fill="FFFFFF"/>
            <w:vAlign w:val="center"/>
          </w:tcPr>
          <w:p w14:paraId="0AE6D695"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Variables Entered/Removeda</w:t>
            </w:r>
          </w:p>
        </w:tc>
      </w:tr>
      <w:tr w:rsidR="00A61BEB" w:rsidRPr="006D4FF2" w14:paraId="125D0DF7" w14:textId="77777777" w:rsidTr="00213C93">
        <w:trPr>
          <w:cantSplit/>
          <w:jc w:val="center"/>
        </w:trPr>
        <w:tc>
          <w:tcPr>
            <w:tcW w:w="799" w:type="dxa"/>
            <w:shd w:val="clear" w:color="auto" w:fill="FFFFFF"/>
            <w:vAlign w:val="bottom"/>
          </w:tcPr>
          <w:p w14:paraId="4EB941C4"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Model</w:t>
            </w:r>
          </w:p>
        </w:tc>
        <w:tc>
          <w:tcPr>
            <w:tcW w:w="1475" w:type="dxa"/>
            <w:shd w:val="clear" w:color="auto" w:fill="FFFFFF"/>
            <w:vAlign w:val="bottom"/>
          </w:tcPr>
          <w:p w14:paraId="341CD49F"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Variables Entered</w:t>
            </w:r>
          </w:p>
        </w:tc>
        <w:tc>
          <w:tcPr>
            <w:tcW w:w="1475" w:type="dxa"/>
            <w:shd w:val="clear" w:color="auto" w:fill="FFFFFF"/>
            <w:vAlign w:val="bottom"/>
          </w:tcPr>
          <w:p w14:paraId="51159820"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Variables Removed</w:t>
            </w:r>
          </w:p>
        </w:tc>
        <w:tc>
          <w:tcPr>
            <w:tcW w:w="1029" w:type="dxa"/>
            <w:shd w:val="clear" w:color="auto" w:fill="FFFFFF"/>
            <w:vAlign w:val="bottom"/>
          </w:tcPr>
          <w:p w14:paraId="4479DE97"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Method</w:t>
            </w:r>
          </w:p>
        </w:tc>
      </w:tr>
      <w:tr w:rsidR="00A61BEB" w:rsidRPr="006D4FF2" w14:paraId="78B49B2E" w14:textId="77777777" w:rsidTr="00213C93">
        <w:trPr>
          <w:cantSplit/>
          <w:jc w:val="center"/>
        </w:trPr>
        <w:tc>
          <w:tcPr>
            <w:tcW w:w="799" w:type="dxa"/>
            <w:shd w:val="clear" w:color="auto" w:fill="E0E0E0"/>
          </w:tcPr>
          <w:p w14:paraId="16ED7EAC"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w:t>
            </w:r>
          </w:p>
        </w:tc>
        <w:tc>
          <w:tcPr>
            <w:tcW w:w="1475" w:type="dxa"/>
            <w:shd w:val="clear" w:color="auto" w:fill="FFFFFF"/>
          </w:tcPr>
          <w:p w14:paraId="302139F8"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C1b</w:t>
            </w:r>
          </w:p>
        </w:tc>
        <w:tc>
          <w:tcPr>
            <w:tcW w:w="1475" w:type="dxa"/>
            <w:shd w:val="clear" w:color="auto" w:fill="FFFFFF"/>
          </w:tcPr>
          <w:p w14:paraId="05B99C64"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w:t>
            </w:r>
          </w:p>
        </w:tc>
        <w:tc>
          <w:tcPr>
            <w:tcW w:w="1029" w:type="dxa"/>
            <w:shd w:val="clear" w:color="auto" w:fill="FFFFFF"/>
          </w:tcPr>
          <w:p w14:paraId="3CB14BC5"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Enter</w:t>
            </w:r>
          </w:p>
        </w:tc>
      </w:tr>
      <w:tr w:rsidR="00A61BEB" w:rsidRPr="006D4FF2" w14:paraId="265BEB4F" w14:textId="77777777" w:rsidTr="00213C93">
        <w:trPr>
          <w:cantSplit/>
          <w:jc w:val="center"/>
        </w:trPr>
        <w:tc>
          <w:tcPr>
            <w:tcW w:w="4778" w:type="dxa"/>
            <w:gridSpan w:val="4"/>
            <w:shd w:val="clear" w:color="auto" w:fill="FFFFFF"/>
          </w:tcPr>
          <w:p w14:paraId="43B23304"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a. Dependent Variable: C3</w:t>
            </w:r>
          </w:p>
        </w:tc>
      </w:tr>
      <w:tr w:rsidR="00A61BEB" w:rsidRPr="006D4FF2" w14:paraId="69C7B6A0" w14:textId="77777777" w:rsidTr="00213C93">
        <w:trPr>
          <w:cantSplit/>
          <w:jc w:val="center"/>
        </w:trPr>
        <w:tc>
          <w:tcPr>
            <w:tcW w:w="4778" w:type="dxa"/>
            <w:gridSpan w:val="4"/>
            <w:shd w:val="clear" w:color="auto" w:fill="FFFFFF"/>
          </w:tcPr>
          <w:p w14:paraId="2F5EFAC9"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b. All requested variables entered.</w:t>
            </w:r>
          </w:p>
        </w:tc>
      </w:tr>
    </w:tbl>
    <w:p w14:paraId="07B6CD18" w14:textId="77777777" w:rsidR="00A61BEB" w:rsidRDefault="00A61BEB" w:rsidP="006D4FF2">
      <w:pPr>
        <w:widowControl/>
        <w:autoSpaceDE/>
        <w:autoSpaceDN/>
        <w:contextualSpacing/>
        <w:jc w:val="both"/>
        <w:rPr>
          <w:rFonts w:ascii="Cambria" w:hAnsi="Cambria"/>
          <w:sz w:val="20"/>
          <w:szCs w:val="20"/>
        </w:rPr>
      </w:pPr>
    </w:p>
    <w:p w14:paraId="7EA8E7DB" w14:textId="462E3450" w:rsidR="00A61BEB" w:rsidRPr="006D4FF2" w:rsidRDefault="00A61BEB" w:rsidP="006D4FF2">
      <w:pPr>
        <w:widowControl/>
        <w:autoSpaceDE/>
        <w:autoSpaceDN/>
        <w:contextualSpacing/>
        <w:jc w:val="center"/>
        <w:rPr>
          <w:rFonts w:ascii="Cambria" w:hAnsi="Cambria"/>
          <w:b/>
          <w:bCs/>
          <w:sz w:val="20"/>
          <w:szCs w:val="20"/>
        </w:rPr>
      </w:pPr>
      <w:r w:rsidRPr="006D4FF2">
        <w:rPr>
          <w:rFonts w:ascii="Cambria" w:hAnsi="Cambria"/>
          <w:b/>
          <w:bCs/>
          <w:sz w:val="20"/>
          <w:szCs w:val="20"/>
        </w:rPr>
        <w:t>Table 7: Model Summary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83"/>
        <w:gridCol w:w="703"/>
        <w:gridCol w:w="824"/>
        <w:gridCol w:w="1030"/>
        <w:gridCol w:w="1017"/>
        <w:gridCol w:w="1025"/>
        <w:gridCol w:w="894"/>
        <w:gridCol w:w="705"/>
        <w:gridCol w:w="705"/>
        <w:gridCol w:w="1029"/>
        <w:gridCol w:w="1025"/>
      </w:tblGrid>
      <w:tr w:rsidR="00A61BEB" w:rsidRPr="006D4FF2" w14:paraId="6CBA6822" w14:textId="77777777" w:rsidTr="006D4FF2">
        <w:trPr>
          <w:cantSplit/>
          <w:jc w:val="center"/>
        </w:trPr>
        <w:tc>
          <w:tcPr>
            <w:tcW w:w="5000" w:type="pct"/>
            <w:gridSpan w:val="11"/>
            <w:shd w:val="clear" w:color="auto" w:fill="FFFFFF"/>
            <w:vAlign w:val="center"/>
          </w:tcPr>
          <w:p w14:paraId="39863560"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Model Summaryb</w:t>
            </w:r>
          </w:p>
        </w:tc>
      </w:tr>
      <w:tr w:rsidR="00A61BEB" w:rsidRPr="006D4FF2" w14:paraId="14AF16EC" w14:textId="77777777" w:rsidTr="006D4FF2">
        <w:trPr>
          <w:cantSplit/>
          <w:jc w:val="center"/>
        </w:trPr>
        <w:tc>
          <w:tcPr>
            <w:tcW w:w="402" w:type="pct"/>
            <w:vMerge w:val="restart"/>
            <w:shd w:val="clear" w:color="auto" w:fill="FFFFFF"/>
            <w:vAlign w:val="bottom"/>
          </w:tcPr>
          <w:p w14:paraId="4639CC66"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Model</w:t>
            </w:r>
          </w:p>
        </w:tc>
        <w:tc>
          <w:tcPr>
            <w:tcW w:w="361" w:type="pct"/>
            <w:vMerge w:val="restart"/>
            <w:shd w:val="clear" w:color="auto" w:fill="FFFFFF"/>
            <w:vAlign w:val="bottom"/>
          </w:tcPr>
          <w:p w14:paraId="32633C33"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R</w:t>
            </w:r>
          </w:p>
        </w:tc>
        <w:tc>
          <w:tcPr>
            <w:tcW w:w="423" w:type="pct"/>
            <w:vMerge w:val="restart"/>
            <w:shd w:val="clear" w:color="auto" w:fill="FFFFFF"/>
            <w:vAlign w:val="bottom"/>
          </w:tcPr>
          <w:p w14:paraId="24092D85"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R Square</w:t>
            </w:r>
          </w:p>
        </w:tc>
        <w:tc>
          <w:tcPr>
            <w:tcW w:w="529" w:type="pct"/>
            <w:vMerge w:val="restart"/>
            <w:shd w:val="clear" w:color="auto" w:fill="FFFFFF"/>
            <w:vAlign w:val="bottom"/>
          </w:tcPr>
          <w:p w14:paraId="0F241B9D"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Adjusted R Square</w:t>
            </w:r>
          </w:p>
        </w:tc>
        <w:tc>
          <w:tcPr>
            <w:tcW w:w="522" w:type="pct"/>
            <w:vMerge w:val="restart"/>
            <w:shd w:val="clear" w:color="auto" w:fill="FFFFFF"/>
            <w:vAlign w:val="bottom"/>
          </w:tcPr>
          <w:p w14:paraId="774416C5"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Std. Error of the Estimate</w:t>
            </w:r>
          </w:p>
        </w:tc>
        <w:tc>
          <w:tcPr>
            <w:tcW w:w="2236" w:type="pct"/>
            <w:gridSpan w:val="5"/>
            <w:shd w:val="clear" w:color="auto" w:fill="FFFFFF"/>
            <w:vAlign w:val="bottom"/>
          </w:tcPr>
          <w:p w14:paraId="0A2A8160"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Change Statistics</w:t>
            </w:r>
          </w:p>
        </w:tc>
        <w:tc>
          <w:tcPr>
            <w:tcW w:w="526" w:type="pct"/>
            <w:vMerge w:val="restart"/>
            <w:shd w:val="clear" w:color="auto" w:fill="FFFFFF"/>
            <w:vAlign w:val="bottom"/>
          </w:tcPr>
          <w:p w14:paraId="1BB1F274"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Durbin-Watson</w:t>
            </w:r>
          </w:p>
        </w:tc>
      </w:tr>
      <w:tr w:rsidR="006D4FF2" w:rsidRPr="006D4FF2" w14:paraId="55484335" w14:textId="77777777" w:rsidTr="006D4FF2">
        <w:trPr>
          <w:cantSplit/>
          <w:jc w:val="center"/>
        </w:trPr>
        <w:tc>
          <w:tcPr>
            <w:tcW w:w="402" w:type="pct"/>
            <w:vMerge/>
            <w:shd w:val="clear" w:color="auto" w:fill="FFFFFF"/>
            <w:vAlign w:val="bottom"/>
          </w:tcPr>
          <w:p w14:paraId="1C0F19DA" w14:textId="77777777" w:rsidR="00A61BEB" w:rsidRPr="006D4FF2" w:rsidRDefault="00A61BEB" w:rsidP="006D4FF2">
            <w:pPr>
              <w:widowControl/>
              <w:autoSpaceDE/>
              <w:autoSpaceDN/>
              <w:contextualSpacing/>
              <w:jc w:val="both"/>
              <w:rPr>
                <w:rFonts w:ascii="Cambria" w:hAnsi="Cambria"/>
                <w:sz w:val="20"/>
                <w:szCs w:val="20"/>
              </w:rPr>
            </w:pPr>
          </w:p>
        </w:tc>
        <w:tc>
          <w:tcPr>
            <w:tcW w:w="361" w:type="pct"/>
            <w:vMerge/>
            <w:shd w:val="clear" w:color="auto" w:fill="FFFFFF"/>
            <w:vAlign w:val="bottom"/>
          </w:tcPr>
          <w:p w14:paraId="0A5F89EE" w14:textId="77777777" w:rsidR="00A61BEB" w:rsidRPr="006D4FF2" w:rsidRDefault="00A61BEB" w:rsidP="006D4FF2">
            <w:pPr>
              <w:widowControl/>
              <w:autoSpaceDE/>
              <w:autoSpaceDN/>
              <w:contextualSpacing/>
              <w:jc w:val="both"/>
              <w:rPr>
                <w:rFonts w:ascii="Cambria" w:hAnsi="Cambria"/>
                <w:sz w:val="20"/>
                <w:szCs w:val="20"/>
              </w:rPr>
            </w:pPr>
          </w:p>
        </w:tc>
        <w:tc>
          <w:tcPr>
            <w:tcW w:w="423" w:type="pct"/>
            <w:vMerge/>
            <w:shd w:val="clear" w:color="auto" w:fill="FFFFFF"/>
            <w:vAlign w:val="bottom"/>
          </w:tcPr>
          <w:p w14:paraId="0E3B18C0" w14:textId="77777777" w:rsidR="00A61BEB" w:rsidRPr="006D4FF2" w:rsidRDefault="00A61BEB" w:rsidP="006D4FF2">
            <w:pPr>
              <w:widowControl/>
              <w:autoSpaceDE/>
              <w:autoSpaceDN/>
              <w:contextualSpacing/>
              <w:jc w:val="both"/>
              <w:rPr>
                <w:rFonts w:ascii="Cambria" w:hAnsi="Cambria"/>
                <w:sz w:val="20"/>
                <w:szCs w:val="20"/>
              </w:rPr>
            </w:pPr>
          </w:p>
        </w:tc>
        <w:tc>
          <w:tcPr>
            <w:tcW w:w="529" w:type="pct"/>
            <w:vMerge/>
            <w:shd w:val="clear" w:color="auto" w:fill="FFFFFF"/>
            <w:vAlign w:val="bottom"/>
          </w:tcPr>
          <w:p w14:paraId="0C313473" w14:textId="77777777" w:rsidR="00A61BEB" w:rsidRPr="006D4FF2" w:rsidRDefault="00A61BEB" w:rsidP="006D4FF2">
            <w:pPr>
              <w:widowControl/>
              <w:autoSpaceDE/>
              <w:autoSpaceDN/>
              <w:contextualSpacing/>
              <w:jc w:val="both"/>
              <w:rPr>
                <w:rFonts w:ascii="Cambria" w:hAnsi="Cambria"/>
                <w:sz w:val="20"/>
                <w:szCs w:val="20"/>
              </w:rPr>
            </w:pPr>
          </w:p>
        </w:tc>
        <w:tc>
          <w:tcPr>
            <w:tcW w:w="522" w:type="pct"/>
            <w:vMerge/>
            <w:shd w:val="clear" w:color="auto" w:fill="FFFFFF"/>
            <w:vAlign w:val="bottom"/>
          </w:tcPr>
          <w:p w14:paraId="56B5EA2E" w14:textId="77777777" w:rsidR="00A61BEB" w:rsidRPr="006D4FF2" w:rsidRDefault="00A61BEB" w:rsidP="006D4FF2">
            <w:pPr>
              <w:widowControl/>
              <w:autoSpaceDE/>
              <w:autoSpaceDN/>
              <w:contextualSpacing/>
              <w:jc w:val="both"/>
              <w:rPr>
                <w:rFonts w:ascii="Cambria" w:hAnsi="Cambria"/>
                <w:sz w:val="20"/>
                <w:szCs w:val="20"/>
              </w:rPr>
            </w:pPr>
          </w:p>
        </w:tc>
        <w:tc>
          <w:tcPr>
            <w:tcW w:w="526" w:type="pct"/>
            <w:shd w:val="clear" w:color="auto" w:fill="FFFFFF"/>
            <w:vAlign w:val="bottom"/>
          </w:tcPr>
          <w:p w14:paraId="1BE5CEB7"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R Square Change</w:t>
            </w:r>
          </w:p>
        </w:tc>
        <w:tc>
          <w:tcPr>
            <w:tcW w:w="459" w:type="pct"/>
            <w:shd w:val="clear" w:color="auto" w:fill="FFFFFF"/>
            <w:vAlign w:val="bottom"/>
          </w:tcPr>
          <w:p w14:paraId="5A37FA73"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F Change</w:t>
            </w:r>
          </w:p>
        </w:tc>
        <w:tc>
          <w:tcPr>
            <w:tcW w:w="362" w:type="pct"/>
            <w:shd w:val="clear" w:color="auto" w:fill="FFFFFF"/>
            <w:vAlign w:val="bottom"/>
          </w:tcPr>
          <w:p w14:paraId="309001EB"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df1</w:t>
            </w:r>
          </w:p>
        </w:tc>
        <w:tc>
          <w:tcPr>
            <w:tcW w:w="362" w:type="pct"/>
            <w:shd w:val="clear" w:color="auto" w:fill="FFFFFF"/>
            <w:vAlign w:val="bottom"/>
          </w:tcPr>
          <w:p w14:paraId="1FA65CAE"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df2</w:t>
            </w:r>
          </w:p>
        </w:tc>
        <w:tc>
          <w:tcPr>
            <w:tcW w:w="528" w:type="pct"/>
            <w:shd w:val="clear" w:color="auto" w:fill="FFFFFF"/>
            <w:vAlign w:val="bottom"/>
          </w:tcPr>
          <w:p w14:paraId="4C3E3D8D"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Sig. F Change</w:t>
            </w:r>
          </w:p>
        </w:tc>
        <w:tc>
          <w:tcPr>
            <w:tcW w:w="526" w:type="pct"/>
            <w:vMerge/>
            <w:shd w:val="clear" w:color="auto" w:fill="FFFFFF"/>
            <w:vAlign w:val="bottom"/>
          </w:tcPr>
          <w:p w14:paraId="0ACC28DC" w14:textId="77777777" w:rsidR="00A61BEB" w:rsidRPr="006D4FF2" w:rsidRDefault="00A61BEB" w:rsidP="006D4FF2">
            <w:pPr>
              <w:widowControl/>
              <w:autoSpaceDE/>
              <w:autoSpaceDN/>
              <w:contextualSpacing/>
              <w:jc w:val="both"/>
              <w:rPr>
                <w:rFonts w:ascii="Cambria" w:hAnsi="Cambria"/>
                <w:sz w:val="20"/>
                <w:szCs w:val="20"/>
              </w:rPr>
            </w:pPr>
          </w:p>
        </w:tc>
      </w:tr>
      <w:tr w:rsidR="006D4FF2" w:rsidRPr="006D4FF2" w14:paraId="3920B560" w14:textId="77777777" w:rsidTr="006D4FF2">
        <w:trPr>
          <w:cantSplit/>
          <w:jc w:val="center"/>
        </w:trPr>
        <w:tc>
          <w:tcPr>
            <w:tcW w:w="402" w:type="pct"/>
            <w:shd w:val="clear" w:color="auto" w:fill="E0E0E0"/>
          </w:tcPr>
          <w:p w14:paraId="50472670"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w:t>
            </w:r>
          </w:p>
        </w:tc>
        <w:tc>
          <w:tcPr>
            <w:tcW w:w="361" w:type="pct"/>
            <w:shd w:val="clear" w:color="auto" w:fill="FFFFFF"/>
          </w:tcPr>
          <w:p w14:paraId="549A7CE4"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.399a</w:t>
            </w:r>
          </w:p>
        </w:tc>
        <w:tc>
          <w:tcPr>
            <w:tcW w:w="423" w:type="pct"/>
            <w:shd w:val="clear" w:color="auto" w:fill="FFFFFF"/>
          </w:tcPr>
          <w:p w14:paraId="45B60760"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.159</w:t>
            </w:r>
          </w:p>
        </w:tc>
        <w:tc>
          <w:tcPr>
            <w:tcW w:w="529" w:type="pct"/>
            <w:shd w:val="clear" w:color="auto" w:fill="FFFFFF"/>
          </w:tcPr>
          <w:p w14:paraId="7345D1D4"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.152</w:t>
            </w:r>
          </w:p>
        </w:tc>
        <w:tc>
          <w:tcPr>
            <w:tcW w:w="522" w:type="pct"/>
            <w:shd w:val="clear" w:color="auto" w:fill="FFFFFF"/>
          </w:tcPr>
          <w:p w14:paraId="588F97B1"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.770</w:t>
            </w:r>
          </w:p>
        </w:tc>
        <w:tc>
          <w:tcPr>
            <w:tcW w:w="526" w:type="pct"/>
            <w:shd w:val="clear" w:color="auto" w:fill="FFFFFF"/>
          </w:tcPr>
          <w:p w14:paraId="17BB4DE0"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.159</w:t>
            </w:r>
          </w:p>
        </w:tc>
        <w:tc>
          <w:tcPr>
            <w:tcW w:w="459" w:type="pct"/>
            <w:shd w:val="clear" w:color="auto" w:fill="FFFFFF"/>
          </w:tcPr>
          <w:p w14:paraId="07A7456C"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22.517</w:t>
            </w:r>
          </w:p>
        </w:tc>
        <w:tc>
          <w:tcPr>
            <w:tcW w:w="362" w:type="pct"/>
            <w:shd w:val="clear" w:color="auto" w:fill="FFFFFF"/>
          </w:tcPr>
          <w:p w14:paraId="371EF8CE"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w:t>
            </w:r>
          </w:p>
        </w:tc>
        <w:tc>
          <w:tcPr>
            <w:tcW w:w="362" w:type="pct"/>
            <w:shd w:val="clear" w:color="auto" w:fill="FFFFFF"/>
          </w:tcPr>
          <w:p w14:paraId="3A3BD5FF"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119</w:t>
            </w:r>
          </w:p>
        </w:tc>
        <w:tc>
          <w:tcPr>
            <w:tcW w:w="528" w:type="pct"/>
            <w:shd w:val="clear" w:color="auto" w:fill="FFFFFF"/>
          </w:tcPr>
          <w:p w14:paraId="248D6557"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.000</w:t>
            </w:r>
          </w:p>
        </w:tc>
        <w:tc>
          <w:tcPr>
            <w:tcW w:w="526" w:type="pct"/>
            <w:shd w:val="clear" w:color="auto" w:fill="FFFFFF"/>
          </w:tcPr>
          <w:p w14:paraId="5F757BF1"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1.012</w:t>
            </w:r>
          </w:p>
        </w:tc>
      </w:tr>
      <w:tr w:rsidR="00A61BEB" w:rsidRPr="006D4FF2" w14:paraId="0AEDBF87" w14:textId="77777777" w:rsidTr="006D4FF2">
        <w:trPr>
          <w:cantSplit/>
          <w:jc w:val="center"/>
        </w:trPr>
        <w:tc>
          <w:tcPr>
            <w:tcW w:w="5000" w:type="pct"/>
            <w:gridSpan w:val="11"/>
            <w:shd w:val="clear" w:color="auto" w:fill="FFFFFF"/>
          </w:tcPr>
          <w:p w14:paraId="36DB0223"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a. Predictors: (Constant), C1</w:t>
            </w:r>
          </w:p>
        </w:tc>
      </w:tr>
      <w:tr w:rsidR="00A61BEB" w:rsidRPr="006D4FF2" w14:paraId="7316A423" w14:textId="77777777" w:rsidTr="006D4FF2">
        <w:trPr>
          <w:cantSplit/>
          <w:jc w:val="center"/>
        </w:trPr>
        <w:tc>
          <w:tcPr>
            <w:tcW w:w="5000" w:type="pct"/>
            <w:gridSpan w:val="11"/>
            <w:shd w:val="clear" w:color="auto" w:fill="FFFFFF"/>
          </w:tcPr>
          <w:p w14:paraId="5DD9441B"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b. Dependent Variable: C3</w:t>
            </w:r>
          </w:p>
        </w:tc>
      </w:tr>
    </w:tbl>
    <w:p w14:paraId="363F6804" w14:textId="77777777" w:rsidR="00A61BEB" w:rsidRDefault="00A61BEB" w:rsidP="006D4FF2">
      <w:pPr>
        <w:widowControl/>
        <w:autoSpaceDE/>
        <w:autoSpaceDN/>
        <w:contextualSpacing/>
        <w:jc w:val="both"/>
        <w:rPr>
          <w:rFonts w:ascii="Cambria" w:hAnsi="Cambria"/>
          <w:sz w:val="20"/>
          <w:szCs w:val="20"/>
        </w:rPr>
      </w:pPr>
    </w:p>
    <w:p w14:paraId="7F5FF1B0" w14:textId="788ABCAE" w:rsidR="00A61BEB" w:rsidRPr="006D4FF2" w:rsidRDefault="00A61BEB" w:rsidP="006D4FF2">
      <w:pPr>
        <w:widowControl/>
        <w:autoSpaceDE/>
        <w:autoSpaceDN/>
        <w:contextualSpacing/>
        <w:jc w:val="center"/>
        <w:rPr>
          <w:rFonts w:ascii="Cambria" w:hAnsi="Cambria"/>
          <w:b/>
          <w:bCs/>
          <w:sz w:val="20"/>
          <w:szCs w:val="20"/>
        </w:rPr>
      </w:pPr>
      <w:r w:rsidRPr="006D4FF2">
        <w:rPr>
          <w:rFonts w:ascii="Cambria" w:hAnsi="Cambria"/>
          <w:b/>
          <w:bCs/>
          <w:sz w:val="20"/>
          <w:szCs w:val="20"/>
        </w:rPr>
        <w:t>Table 8: ANOVA Test</w:t>
      </w:r>
    </w:p>
    <w:tbl>
      <w:tblPr>
        <w:tblW w:w="8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A61BEB" w:rsidRPr="006D4FF2" w14:paraId="497EBEAB" w14:textId="77777777" w:rsidTr="00213C93">
        <w:trPr>
          <w:cantSplit/>
          <w:jc w:val="center"/>
        </w:trPr>
        <w:tc>
          <w:tcPr>
            <w:tcW w:w="8004" w:type="dxa"/>
            <w:gridSpan w:val="7"/>
            <w:shd w:val="clear" w:color="auto" w:fill="FFFFFF"/>
            <w:vAlign w:val="center"/>
          </w:tcPr>
          <w:p w14:paraId="5F25D58F"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ANOVAa</w:t>
            </w:r>
          </w:p>
        </w:tc>
      </w:tr>
      <w:tr w:rsidR="00A61BEB" w:rsidRPr="006D4FF2" w14:paraId="544B9985" w14:textId="77777777" w:rsidTr="00213C93">
        <w:trPr>
          <w:cantSplit/>
          <w:jc w:val="center"/>
        </w:trPr>
        <w:tc>
          <w:tcPr>
            <w:tcW w:w="2028" w:type="dxa"/>
            <w:gridSpan w:val="2"/>
            <w:shd w:val="clear" w:color="auto" w:fill="FFFFFF"/>
            <w:vAlign w:val="bottom"/>
          </w:tcPr>
          <w:p w14:paraId="1E65794B"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Model</w:t>
            </w:r>
          </w:p>
        </w:tc>
        <w:tc>
          <w:tcPr>
            <w:tcW w:w="1475" w:type="dxa"/>
            <w:shd w:val="clear" w:color="auto" w:fill="FFFFFF"/>
            <w:vAlign w:val="bottom"/>
          </w:tcPr>
          <w:p w14:paraId="35EAFD8D"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Sum of Squares</w:t>
            </w:r>
          </w:p>
        </w:tc>
        <w:tc>
          <w:tcPr>
            <w:tcW w:w="1029" w:type="dxa"/>
            <w:shd w:val="clear" w:color="auto" w:fill="FFFFFF"/>
            <w:vAlign w:val="bottom"/>
          </w:tcPr>
          <w:p w14:paraId="130DD2C2"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Df</w:t>
            </w:r>
          </w:p>
        </w:tc>
        <w:tc>
          <w:tcPr>
            <w:tcW w:w="1414" w:type="dxa"/>
            <w:shd w:val="clear" w:color="auto" w:fill="FFFFFF"/>
            <w:vAlign w:val="bottom"/>
          </w:tcPr>
          <w:p w14:paraId="145B095D"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Mean Square</w:t>
            </w:r>
          </w:p>
        </w:tc>
        <w:tc>
          <w:tcPr>
            <w:tcW w:w="1029" w:type="dxa"/>
            <w:shd w:val="clear" w:color="auto" w:fill="FFFFFF"/>
            <w:vAlign w:val="bottom"/>
          </w:tcPr>
          <w:p w14:paraId="0382E0B2"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F</w:t>
            </w:r>
          </w:p>
        </w:tc>
        <w:tc>
          <w:tcPr>
            <w:tcW w:w="1029" w:type="dxa"/>
            <w:shd w:val="clear" w:color="auto" w:fill="FFFFFF"/>
            <w:vAlign w:val="bottom"/>
          </w:tcPr>
          <w:p w14:paraId="4EF2D113"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Sig.</w:t>
            </w:r>
          </w:p>
        </w:tc>
      </w:tr>
      <w:tr w:rsidR="00A61BEB" w:rsidRPr="006D4FF2" w14:paraId="7CBF66E0" w14:textId="77777777" w:rsidTr="00213C93">
        <w:trPr>
          <w:cantSplit/>
          <w:jc w:val="center"/>
        </w:trPr>
        <w:tc>
          <w:tcPr>
            <w:tcW w:w="737" w:type="dxa"/>
            <w:vMerge w:val="restart"/>
            <w:shd w:val="clear" w:color="auto" w:fill="E0E0E0"/>
          </w:tcPr>
          <w:p w14:paraId="734D786D"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w:t>
            </w:r>
          </w:p>
        </w:tc>
        <w:tc>
          <w:tcPr>
            <w:tcW w:w="1291" w:type="dxa"/>
            <w:shd w:val="clear" w:color="auto" w:fill="E0E0E0"/>
          </w:tcPr>
          <w:p w14:paraId="7E11EA20"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Regression</w:t>
            </w:r>
          </w:p>
        </w:tc>
        <w:tc>
          <w:tcPr>
            <w:tcW w:w="1475" w:type="dxa"/>
            <w:shd w:val="clear" w:color="auto" w:fill="FFFFFF"/>
          </w:tcPr>
          <w:p w14:paraId="104FC9A2"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13.365</w:t>
            </w:r>
          </w:p>
        </w:tc>
        <w:tc>
          <w:tcPr>
            <w:tcW w:w="1029" w:type="dxa"/>
            <w:shd w:val="clear" w:color="auto" w:fill="FFFFFF"/>
          </w:tcPr>
          <w:p w14:paraId="5FF71701"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w:t>
            </w:r>
          </w:p>
        </w:tc>
        <w:tc>
          <w:tcPr>
            <w:tcW w:w="1414" w:type="dxa"/>
            <w:shd w:val="clear" w:color="auto" w:fill="FFFFFF"/>
          </w:tcPr>
          <w:p w14:paraId="253A6253"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13.365</w:t>
            </w:r>
          </w:p>
        </w:tc>
        <w:tc>
          <w:tcPr>
            <w:tcW w:w="1029" w:type="dxa"/>
            <w:shd w:val="clear" w:color="auto" w:fill="FFFFFF"/>
          </w:tcPr>
          <w:p w14:paraId="4BDABF47"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22.517</w:t>
            </w:r>
          </w:p>
        </w:tc>
        <w:tc>
          <w:tcPr>
            <w:tcW w:w="1029" w:type="dxa"/>
            <w:shd w:val="clear" w:color="auto" w:fill="FFFFFF"/>
          </w:tcPr>
          <w:p w14:paraId="21E8D851"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.000b</w:t>
            </w:r>
          </w:p>
        </w:tc>
      </w:tr>
      <w:tr w:rsidR="00A61BEB" w:rsidRPr="006D4FF2" w14:paraId="1E860B51" w14:textId="77777777" w:rsidTr="00213C93">
        <w:trPr>
          <w:cantSplit/>
          <w:jc w:val="center"/>
        </w:trPr>
        <w:tc>
          <w:tcPr>
            <w:tcW w:w="737" w:type="dxa"/>
            <w:vMerge/>
            <w:shd w:val="clear" w:color="auto" w:fill="E0E0E0"/>
          </w:tcPr>
          <w:p w14:paraId="55DA9C34" w14:textId="77777777" w:rsidR="00A61BEB" w:rsidRPr="006D4FF2" w:rsidRDefault="00A61BEB" w:rsidP="006D4FF2">
            <w:pPr>
              <w:widowControl/>
              <w:autoSpaceDE/>
              <w:autoSpaceDN/>
              <w:contextualSpacing/>
              <w:jc w:val="both"/>
              <w:rPr>
                <w:rFonts w:ascii="Cambria" w:hAnsi="Cambria"/>
                <w:sz w:val="20"/>
                <w:szCs w:val="20"/>
              </w:rPr>
            </w:pPr>
          </w:p>
        </w:tc>
        <w:tc>
          <w:tcPr>
            <w:tcW w:w="1291" w:type="dxa"/>
            <w:shd w:val="clear" w:color="auto" w:fill="E0E0E0"/>
          </w:tcPr>
          <w:p w14:paraId="3EA76868"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Residual</w:t>
            </w:r>
          </w:p>
        </w:tc>
        <w:tc>
          <w:tcPr>
            <w:tcW w:w="1475" w:type="dxa"/>
            <w:shd w:val="clear" w:color="auto" w:fill="FFFFFF"/>
          </w:tcPr>
          <w:p w14:paraId="375D3EBD"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70.635</w:t>
            </w:r>
          </w:p>
        </w:tc>
        <w:tc>
          <w:tcPr>
            <w:tcW w:w="1029" w:type="dxa"/>
            <w:shd w:val="clear" w:color="auto" w:fill="FFFFFF"/>
          </w:tcPr>
          <w:p w14:paraId="0F3CB427"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119</w:t>
            </w:r>
          </w:p>
        </w:tc>
        <w:tc>
          <w:tcPr>
            <w:tcW w:w="1414" w:type="dxa"/>
            <w:shd w:val="clear" w:color="auto" w:fill="FFFFFF"/>
          </w:tcPr>
          <w:p w14:paraId="26D7E754"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.594</w:t>
            </w:r>
          </w:p>
        </w:tc>
        <w:tc>
          <w:tcPr>
            <w:tcW w:w="1029" w:type="dxa"/>
            <w:shd w:val="clear" w:color="auto" w:fill="FFFFFF"/>
            <w:vAlign w:val="center"/>
          </w:tcPr>
          <w:p w14:paraId="43D24CF8" w14:textId="77777777" w:rsidR="00A61BEB" w:rsidRPr="006D4FF2" w:rsidRDefault="00A61BEB" w:rsidP="006D4FF2">
            <w:pPr>
              <w:widowControl/>
              <w:autoSpaceDE/>
              <w:autoSpaceDN/>
              <w:contextualSpacing/>
              <w:jc w:val="both"/>
              <w:rPr>
                <w:rFonts w:ascii="Cambria" w:hAnsi="Cambria"/>
                <w:sz w:val="20"/>
                <w:szCs w:val="20"/>
              </w:rPr>
            </w:pPr>
          </w:p>
        </w:tc>
        <w:tc>
          <w:tcPr>
            <w:tcW w:w="1029" w:type="dxa"/>
            <w:shd w:val="clear" w:color="auto" w:fill="FFFFFF"/>
            <w:vAlign w:val="center"/>
          </w:tcPr>
          <w:p w14:paraId="75DF9C8F" w14:textId="77777777" w:rsidR="00A61BEB" w:rsidRPr="006D4FF2" w:rsidRDefault="00A61BEB" w:rsidP="006D4FF2">
            <w:pPr>
              <w:widowControl/>
              <w:autoSpaceDE/>
              <w:autoSpaceDN/>
              <w:contextualSpacing/>
              <w:jc w:val="both"/>
              <w:rPr>
                <w:rFonts w:ascii="Cambria" w:hAnsi="Cambria"/>
                <w:sz w:val="20"/>
                <w:szCs w:val="20"/>
              </w:rPr>
            </w:pPr>
          </w:p>
        </w:tc>
      </w:tr>
      <w:tr w:rsidR="00A61BEB" w:rsidRPr="006D4FF2" w14:paraId="10CFB050" w14:textId="77777777" w:rsidTr="00213C93">
        <w:trPr>
          <w:cantSplit/>
          <w:jc w:val="center"/>
        </w:trPr>
        <w:tc>
          <w:tcPr>
            <w:tcW w:w="737" w:type="dxa"/>
            <w:vMerge/>
            <w:shd w:val="clear" w:color="auto" w:fill="E0E0E0"/>
          </w:tcPr>
          <w:p w14:paraId="176CF586" w14:textId="77777777" w:rsidR="00A61BEB" w:rsidRPr="006D4FF2" w:rsidRDefault="00A61BEB" w:rsidP="006D4FF2">
            <w:pPr>
              <w:widowControl/>
              <w:autoSpaceDE/>
              <w:autoSpaceDN/>
              <w:contextualSpacing/>
              <w:jc w:val="both"/>
              <w:rPr>
                <w:rFonts w:ascii="Cambria" w:hAnsi="Cambria"/>
                <w:sz w:val="20"/>
                <w:szCs w:val="20"/>
              </w:rPr>
            </w:pPr>
          </w:p>
        </w:tc>
        <w:tc>
          <w:tcPr>
            <w:tcW w:w="1291" w:type="dxa"/>
            <w:shd w:val="clear" w:color="auto" w:fill="E0E0E0"/>
          </w:tcPr>
          <w:p w14:paraId="4A13DA04"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Total</w:t>
            </w:r>
          </w:p>
        </w:tc>
        <w:tc>
          <w:tcPr>
            <w:tcW w:w="1475" w:type="dxa"/>
            <w:shd w:val="clear" w:color="auto" w:fill="FFFFFF"/>
          </w:tcPr>
          <w:p w14:paraId="769F981A"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84.000</w:t>
            </w:r>
          </w:p>
        </w:tc>
        <w:tc>
          <w:tcPr>
            <w:tcW w:w="1029" w:type="dxa"/>
            <w:shd w:val="clear" w:color="auto" w:fill="FFFFFF"/>
          </w:tcPr>
          <w:p w14:paraId="639B16AD"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120</w:t>
            </w:r>
          </w:p>
        </w:tc>
        <w:tc>
          <w:tcPr>
            <w:tcW w:w="1414" w:type="dxa"/>
            <w:shd w:val="clear" w:color="auto" w:fill="FFFFFF"/>
            <w:vAlign w:val="center"/>
          </w:tcPr>
          <w:p w14:paraId="4FC1E727" w14:textId="77777777" w:rsidR="00A61BEB" w:rsidRPr="006D4FF2" w:rsidRDefault="00A61BEB" w:rsidP="006D4FF2">
            <w:pPr>
              <w:widowControl/>
              <w:autoSpaceDE/>
              <w:autoSpaceDN/>
              <w:contextualSpacing/>
              <w:jc w:val="both"/>
              <w:rPr>
                <w:rFonts w:ascii="Cambria" w:hAnsi="Cambria"/>
                <w:sz w:val="20"/>
                <w:szCs w:val="20"/>
              </w:rPr>
            </w:pPr>
          </w:p>
        </w:tc>
        <w:tc>
          <w:tcPr>
            <w:tcW w:w="1029" w:type="dxa"/>
            <w:shd w:val="clear" w:color="auto" w:fill="FFFFFF"/>
            <w:vAlign w:val="center"/>
          </w:tcPr>
          <w:p w14:paraId="5CCDAA1E" w14:textId="77777777" w:rsidR="00A61BEB" w:rsidRPr="006D4FF2" w:rsidRDefault="00A61BEB" w:rsidP="006D4FF2">
            <w:pPr>
              <w:widowControl/>
              <w:autoSpaceDE/>
              <w:autoSpaceDN/>
              <w:contextualSpacing/>
              <w:jc w:val="both"/>
              <w:rPr>
                <w:rFonts w:ascii="Cambria" w:hAnsi="Cambria"/>
                <w:sz w:val="20"/>
                <w:szCs w:val="20"/>
              </w:rPr>
            </w:pPr>
          </w:p>
        </w:tc>
        <w:tc>
          <w:tcPr>
            <w:tcW w:w="1029" w:type="dxa"/>
            <w:shd w:val="clear" w:color="auto" w:fill="FFFFFF"/>
            <w:vAlign w:val="center"/>
          </w:tcPr>
          <w:p w14:paraId="590430C4" w14:textId="77777777" w:rsidR="00A61BEB" w:rsidRPr="006D4FF2" w:rsidRDefault="00A61BEB" w:rsidP="006D4FF2">
            <w:pPr>
              <w:widowControl/>
              <w:autoSpaceDE/>
              <w:autoSpaceDN/>
              <w:contextualSpacing/>
              <w:jc w:val="both"/>
              <w:rPr>
                <w:rFonts w:ascii="Cambria" w:hAnsi="Cambria"/>
                <w:sz w:val="20"/>
                <w:szCs w:val="20"/>
              </w:rPr>
            </w:pPr>
          </w:p>
        </w:tc>
      </w:tr>
      <w:tr w:rsidR="00A61BEB" w:rsidRPr="006D4FF2" w14:paraId="779084E7" w14:textId="77777777" w:rsidTr="00213C93">
        <w:trPr>
          <w:cantSplit/>
          <w:jc w:val="center"/>
        </w:trPr>
        <w:tc>
          <w:tcPr>
            <w:tcW w:w="8004" w:type="dxa"/>
            <w:gridSpan w:val="7"/>
            <w:shd w:val="clear" w:color="auto" w:fill="FFFFFF"/>
          </w:tcPr>
          <w:p w14:paraId="0AABB020"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a. Dependent Variable: C3</w:t>
            </w:r>
          </w:p>
        </w:tc>
      </w:tr>
      <w:tr w:rsidR="00A61BEB" w:rsidRPr="006D4FF2" w14:paraId="18B2588C" w14:textId="77777777" w:rsidTr="00213C93">
        <w:trPr>
          <w:cantSplit/>
          <w:jc w:val="center"/>
        </w:trPr>
        <w:tc>
          <w:tcPr>
            <w:tcW w:w="8004" w:type="dxa"/>
            <w:gridSpan w:val="7"/>
            <w:shd w:val="clear" w:color="auto" w:fill="FFFFFF"/>
          </w:tcPr>
          <w:p w14:paraId="7E47847B"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b. Predictors: (Constant), C1</w:t>
            </w:r>
          </w:p>
        </w:tc>
      </w:tr>
    </w:tbl>
    <w:p w14:paraId="704D4390" w14:textId="77777777" w:rsidR="00A61BEB" w:rsidRDefault="00A61BEB" w:rsidP="006D4FF2">
      <w:pPr>
        <w:widowControl/>
        <w:autoSpaceDE/>
        <w:autoSpaceDN/>
        <w:contextualSpacing/>
        <w:jc w:val="both"/>
        <w:rPr>
          <w:rFonts w:ascii="Cambria" w:hAnsi="Cambria"/>
          <w:sz w:val="20"/>
          <w:szCs w:val="20"/>
        </w:rPr>
      </w:pPr>
    </w:p>
    <w:p w14:paraId="7E8C6991" w14:textId="6BBAD550" w:rsidR="00A61BEB" w:rsidRPr="006D4FF2" w:rsidRDefault="00A61BEB" w:rsidP="006D4FF2">
      <w:pPr>
        <w:widowControl/>
        <w:autoSpaceDE/>
        <w:autoSpaceDN/>
        <w:contextualSpacing/>
        <w:jc w:val="center"/>
        <w:rPr>
          <w:rFonts w:ascii="Cambria" w:hAnsi="Cambria"/>
          <w:b/>
          <w:bCs/>
          <w:sz w:val="20"/>
          <w:szCs w:val="20"/>
        </w:rPr>
      </w:pPr>
      <w:r w:rsidRPr="006D4FF2">
        <w:rPr>
          <w:rFonts w:ascii="Cambria" w:hAnsi="Cambria"/>
          <w:b/>
          <w:bCs/>
          <w:sz w:val="20"/>
          <w:szCs w:val="20"/>
        </w:rPr>
        <w:t>Table 9: Coefficient Test</w:t>
      </w:r>
    </w:p>
    <w:tbl>
      <w:tblPr>
        <w:tblW w:w="8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184"/>
        <w:gridCol w:w="1338"/>
        <w:gridCol w:w="1338"/>
        <w:gridCol w:w="1476"/>
        <w:gridCol w:w="1030"/>
        <w:gridCol w:w="1030"/>
      </w:tblGrid>
      <w:tr w:rsidR="00A61BEB" w:rsidRPr="006D4FF2" w14:paraId="6259F5B3" w14:textId="77777777" w:rsidTr="00213C93">
        <w:trPr>
          <w:cantSplit/>
          <w:jc w:val="center"/>
        </w:trPr>
        <w:tc>
          <w:tcPr>
            <w:tcW w:w="8132" w:type="dxa"/>
            <w:gridSpan w:val="7"/>
            <w:shd w:val="clear" w:color="auto" w:fill="FFFFFF"/>
            <w:vAlign w:val="center"/>
          </w:tcPr>
          <w:p w14:paraId="3A0B6622" w14:textId="77777777" w:rsidR="00A61BEB" w:rsidRPr="006D4FF2" w:rsidRDefault="00A61BEB" w:rsidP="006D4FF2">
            <w:pPr>
              <w:widowControl/>
              <w:autoSpaceDE/>
              <w:autoSpaceDN/>
              <w:contextualSpacing/>
              <w:jc w:val="center"/>
              <w:rPr>
                <w:rFonts w:ascii="Cambria" w:hAnsi="Cambria"/>
                <w:sz w:val="20"/>
                <w:szCs w:val="20"/>
              </w:rPr>
            </w:pPr>
            <w:r w:rsidRPr="006D4FF2">
              <w:rPr>
                <w:rFonts w:ascii="Cambria" w:hAnsi="Cambria"/>
                <w:sz w:val="20"/>
                <w:szCs w:val="20"/>
              </w:rPr>
              <w:t>Coefficientsa</w:t>
            </w:r>
          </w:p>
        </w:tc>
      </w:tr>
      <w:tr w:rsidR="00A61BEB" w:rsidRPr="006D4FF2" w14:paraId="3CE0C768" w14:textId="77777777" w:rsidTr="00213C93">
        <w:trPr>
          <w:cantSplit/>
          <w:jc w:val="center"/>
        </w:trPr>
        <w:tc>
          <w:tcPr>
            <w:tcW w:w="1920" w:type="dxa"/>
            <w:gridSpan w:val="2"/>
            <w:vMerge w:val="restart"/>
            <w:shd w:val="clear" w:color="auto" w:fill="FFFFFF"/>
            <w:vAlign w:val="bottom"/>
          </w:tcPr>
          <w:p w14:paraId="3033BB94" w14:textId="77777777" w:rsidR="00A61BEB" w:rsidRPr="006D4FF2" w:rsidRDefault="00A61BEB" w:rsidP="006D4FF2">
            <w:pPr>
              <w:widowControl/>
              <w:autoSpaceDE/>
              <w:autoSpaceDN/>
              <w:contextualSpacing/>
              <w:jc w:val="center"/>
              <w:rPr>
                <w:rFonts w:ascii="Cambria" w:hAnsi="Cambria"/>
                <w:sz w:val="20"/>
                <w:szCs w:val="20"/>
              </w:rPr>
            </w:pPr>
            <w:r w:rsidRPr="006D4FF2">
              <w:rPr>
                <w:rFonts w:ascii="Cambria" w:hAnsi="Cambria"/>
                <w:sz w:val="20"/>
                <w:szCs w:val="20"/>
              </w:rPr>
              <w:t>Model</w:t>
            </w:r>
          </w:p>
        </w:tc>
        <w:tc>
          <w:tcPr>
            <w:tcW w:w="2676" w:type="dxa"/>
            <w:gridSpan w:val="2"/>
            <w:shd w:val="clear" w:color="auto" w:fill="FFFFFF"/>
            <w:vAlign w:val="bottom"/>
          </w:tcPr>
          <w:p w14:paraId="4BAFF7A7" w14:textId="77777777" w:rsidR="00A61BEB" w:rsidRPr="006D4FF2" w:rsidRDefault="00A61BEB" w:rsidP="006D4FF2">
            <w:pPr>
              <w:widowControl/>
              <w:autoSpaceDE/>
              <w:autoSpaceDN/>
              <w:contextualSpacing/>
              <w:jc w:val="center"/>
              <w:rPr>
                <w:rFonts w:ascii="Cambria" w:hAnsi="Cambria"/>
                <w:sz w:val="20"/>
                <w:szCs w:val="20"/>
              </w:rPr>
            </w:pPr>
            <w:r w:rsidRPr="006D4FF2">
              <w:rPr>
                <w:rFonts w:ascii="Cambria" w:hAnsi="Cambria"/>
                <w:sz w:val="20"/>
                <w:szCs w:val="20"/>
              </w:rPr>
              <w:t>Unstandardized Coefficients</w:t>
            </w:r>
          </w:p>
        </w:tc>
        <w:tc>
          <w:tcPr>
            <w:tcW w:w="1476" w:type="dxa"/>
            <w:shd w:val="clear" w:color="auto" w:fill="FFFFFF"/>
            <w:vAlign w:val="bottom"/>
          </w:tcPr>
          <w:p w14:paraId="38BCA82C" w14:textId="77777777" w:rsidR="00A61BEB" w:rsidRPr="006D4FF2" w:rsidRDefault="00A61BEB" w:rsidP="006D4FF2">
            <w:pPr>
              <w:widowControl/>
              <w:autoSpaceDE/>
              <w:autoSpaceDN/>
              <w:contextualSpacing/>
              <w:jc w:val="center"/>
              <w:rPr>
                <w:rFonts w:ascii="Cambria" w:hAnsi="Cambria"/>
                <w:sz w:val="20"/>
                <w:szCs w:val="20"/>
              </w:rPr>
            </w:pPr>
            <w:r w:rsidRPr="006D4FF2">
              <w:rPr>
                <w:rFonts w:ascii="Cambria" w:hAnsi="Cambria"/>
                <w:sz w:val="20"/>
                <w:szCs w:val="20"/>
              </w:rPr>
              <w:t>Standardized Coefficients</w:t>
            </w:r>
          </w:p>
        </w:tc>
        <w:tc>
          <w:tcPr>
            <w:tcW w:w="1030" w:type="dxa"/>
            <w:vMerge w:val="restart"/>
            <w:shd w:val="clear" w:color="auto" w:fill="FFFFFF"/>
            <w:vAlign w:val="bottom"/>
          </w:tcPr>
          <w:p w14:paraId="388C660B" w14:textId="77777777" w:rsidR="00A61BEB" w:rsidRPr="006D4FF2" w:rsidRDefault="00A61BEB" w:rsidP="006D4FF2">
            <w:pPr>
              <w:widowControl/>
              <w:autoSpaceDE/>
              <w:autoSpaceDN/>
              <w:contextualSpacing/>
              <w:jc w:val="center"/>
              <w:rPr>
                <w:rFonts w:ascii="Cambria" w:hAnsi="Cambria"/>
                <w:sz w:val="20"/>
                <w:szCs w:val="20"/>
              </w:rPr>
            </w:pPr>
            <w:r w:rsidRPr="006D4FF2">
              <w:rPr>
                <w:rFonts w:ascii="Cambria" w:hAnsi="Cambria"/>
                <w:sz w:val="20"/>
                <w:szCs w:val="20"/>
              </w:rPr>
              <w:t>T</w:t>
            </w:r>
          </w:p>
        </w:tc>
        <w:tc>
          <w:tcPr>
            <w:tcW w:w="1030" w:type="dxa"/>
            <w:vMerge w:val="restart"/>
            <w:shd w:val="clear" w:color="auto" w:fill="FFFFFF"/>
            <w:vAlign w:val="bottom"/>
          </w:tcPr>
          <w:p w14:paraId="7D338776" w14:textId="77777777" w:rsidR="00A61BEB" w:rsidRPr="006D4FF2" w:rsidRDefault="00A61BEB" w:rsidP="006D4FF2">
            <w:pPr>
              <w:widowControl/>
              <w:autoSpaceDE/>
              <w:autoSpaceDN/>
              <w:contextualSpacing/>
              <w:jc w:val="center"/>
              <w:rPr>
                <w:rFonts w:ascii="Cambria" w:hAnsi="Cambria"/>
                <w:sz w:val="20"/>
                <w:szCs w:val="20"/>
              </w:rPr>
            </w:pPr>
            <w:r w:rsidRPr="006D4FF2">
              <w:rPr>
                <w:rFonts w:ascii="Cambria" w:hAnsi="Cambria"/>
                <w:sz w:val="20"/>
                <w:szCs w:val="20"/>
              </w:rPr>
              <w:t>Sig.</w:t>
            </w:r>
          </w:p>
        </w:tc>
      </w:tr>
      <w:tr w:rsidR="00A61BEB" w:rsidRPr="006D4FF2" w14:paraId="48C5FB59" w14:textId="77777777" w:rsidTr="00213C93">
        <w:trPr>
          <w:cantSplit/>
          <w:jc w:val="center"/>
        </w:trPr>
        <w:tc>
          <w:tcPr>
            <w:tcW w:w="1920" w:type="dxa"/>
            <w:gridSpan w:val="2"/>
            <w:vMerge/>
            <w:shd w:val="clear" w:color="auto" w:fill="FFFFFF"/>
            <w:vAlign w:val="bottom"/>
          </w:tcPr>
          <w:p w14:paraId="164EBF45" w14:textId="77777777" w:rsidR="00A61BEB" w:rsidRPr="006D4FF2" w:rsidRDefault="00A61BEB" w:rsidP="006D4FF2">
            <w:pPr>
              <w:widowControl/>
              <w:autoSpaceDE/>
              <w:autoSpaceDN/>
              <w:contextualSpacing/>
              <w:jc w:val="center"/>
              <w:rPr>
                <w:rFonts w:ascii="Cambria" w:hAnsi="Cambria"/>
                <w:sz w:val="20"/>
                <w:szCs w:val="20"/>
              </w:rPr>
            </w:pPr>
          </w:p>
        </w:tc>
        <w:tc>
          <w:tcPr>
            <w:tcW w:w="1338" w:type="dxa"/>
            <w:shd w:val="clear" w:color="auto" w:fill="FFFFFF"/>
            <w:vAlign w:val="bottom"/>
          </w:tcPr>
          <w:p w14:paraId="660C6F6A" w14:textId="77777777" w:rsidR="00A61BEB" w:rsidRPr="006D4FF2" w:rsidRDefault="00A61BEB" w:rsidP="006D4FF2">
            <w:pPr>
              <w:widowControl/>
              <w:autoSpaceDE/>
              <w:autoSpaceDN/>
              <w:contextualSpacing/>
              <w:jc w:val="center"/>
              <w:rPr>
                <w:rFonts w:ascii="Cambria" w:hAnsi="Cambria"/>
                <w:sz w:val="20"/>
                <w:szCs w:val="20"/>
              </w:rPr>
            </w:pPr>
            <w:r w:rsidRPr="006D4FF2">
              <w:rPr>
                <w:rFonts w:ascii="Cambria" w:hAnsi="Cambria"/>
                <w:sz w:val="20"/>
                <w:szCs w:val="20"/>
              </w:rPr>
              <w:t>B</w:t>
            </w:r>
          </w:p>
        </w:tc>
        <w:tc>
          <w:tcPr>
            <w:tcW w:w="1338" w:type="dxa"/>
            <w:shd w:val="clear" w:color="auto" w:fill="FFFFFF"/>
            <w:vAlign w:val="bottom"/>
          </w:tcPr>
          <w:p w14:paraId="061B1BF0" w14:textId="77777777" w:rsidR="00A61BEB" w:rsidRPr="006D4FF2" w:rsidRDefault="00A61BEB" w:rsidP="006D4FF2">
            <w:pPr>
              <w:widowControl/>
              <w:autoSpaceDE/>
              <w:autoSpaceDN/>
              <w:contextualSpacing/>
              <w:jc w:val="center"/>
              <w:rPr>
                <w:rFonts w:ascii="Cambria" w:hAnsi="Cambria"/>
                <w:sz w:val="20"/>
                <w:szCs w:val="20"/>
              </w:rPr>
            </w:pPr>
            <w:r w:rsidRPr="006D4FF2">
              <w:rPr>
                <w:rFonts w:ascii="Cambria" w:hAnsi="Cambria"/>
                <w:sz w:val="20"/>
                <w:szCs w:val="20"/>
              </w:rPr>
              <w:t>Std. Error</w:t>
            </w:r>
          </w:p>
        </w:tc>
        <w:tc>
          <w:tcPr>
            <w:tcW w:w="1476" w:type="dxa"/>
            <w:shd w:val="clear" w:color="auto" w:fill="FFFFFF"/>
            <w:vAlign w:val="bottom"/>
          </w:tcPr>
          <w:p w14:paraId="590B8547" w14:textId="77777777" w:rsidR="00A61BEB" w:rsidRPr="006D4FF2" w:rsidRDefault="00A61BEB" w:rsidP="006D4FF2">
            <w:pPr>
              <w:widowControl/>
              <w:autoSpaceDE/>
              <w:autoSpaceDN/>
              <w:contextualSpacing/>
              <w:jc w:val="center"/>
              <w:rPr>
                <w:rFonts w:ascii="Cambria" w:hAnsi="Cambria"/>
                <w:sz w:val="20"/>
                <w:szCs w:val="20"/>
              </w:rPr>
            </w:pPr>
            <w:r w:rsidRPr="006D4FF2">
              <w:rPr>
                <w:rFonts w:ascii="Cambria" w:hAnsi="Cambria"/>
                <w:sz w:val="20"/>
                <w:szCs w:val="20"/>
              </w:rPr>
              <w:t>Beta</w:t>
            </w:r>
          </w:p>
        </w:tc>
        <w:tc>
          <w:tcPr>
            <w:tcW w:w="1030" w:type="dxa"/>
            <w:vMerge/>
            <w:shd w:val="clear" w:color="auto" w:fill="FFFFFF"/>
            <w:vAlign w:val="bottom"/>
          </w:tcPr>
          <w:p w14:paraId="2A04CC63" w14:textId="77777777" w:rsidR="00A61BEB" w:rsidRPr="006D4FF2" w:rsidRDefault="00A61BEB" w:rsidP="006D4FF2">
            <w:pPr>
              <w:widowControl/>
              <w:autoSpaceDE/>
              <w:autoSpaceDN/>
              <w:contextualSpacing/>
              <w:jc w:val="center"/>
              <w:rPr>
                <w:rFonts w:ascii="Cambria" w:hAnsi="Cambria"/>
                <w:sz w:val="20"/>
                <w:szCs w:val="20"/>
              </w:rPr>
            </w:pPr>
          </w:p>
        </w:tc>
        <w:tc>
          <w:tcPr>
            <w:tcW w:w="1030" w:type="dxa"/>
            <w:vMerge/>
            <w:shd w:val="clear" w:color="auto" w:fill="FFFFFF"/>
            <w:vAlign w:val="bottom"/>
          </w:tcPr>
          <w:p w14:paraId="1521B268" w14:textId="77777777" w:rsidR="00A61BEB" w:rsidRPr="006D4FF2" w:rsidRDefault="00A61BEB" w:rsidP="006D4FF2">
            <w:pPr>
              <w:widowControl/>
              <w:autoSpaceDE/>
              <w:autoSpaceDN/>
              <w:contextualSpacing/>
              <w:jc w:val="center"/>
              <w:rPr>
                <w:rFonts w:ascii="Cambria" w:hAnsi="Cambria"/>
                <w:sz w:val="20"/>
                <w:szCs w:val="20"/>
              </w:rPr>
            </w:pPr>
          </w:p>
        </w:tc>
      </w:tr>
      <w:tr w:rsidR="00A61BEB" w:rsidRPr="006D4FF2" w14:paraId="5DF27D85" w14:textId="77777777" w:rsidTr="00213C93">
        <w:trPr>
          <w:cantSplit/>
          <w:jc w:val="center"/>
        </w:trPr>
        <w:tc>
          <w:tcPr>
            <w:tcW w:w="736" w:type="dxa"/>
            <w:vMerge w:val="restart"/>
            <w:shd w:val="clear" w:color="auto" w:fill="E0E0E0"/>
          </w:tcPr>
          <w:p w14:paraId="6E486EAE" w14:textId="77777777" w:rsidR="00A61BEB" w:rsidRPr="006D4FF2" w:rsidRDefault="00A61BEB" w:rsidP="006D4FF2">
            <w:pPr>
              <w:widowControl/>
              <w:autoSpaceDE/>
              <w:autoSpaceDN/>
              <w:contextualSpacing/>
              <w:jc w:val="center"/>
              <w:rPr>
                <w:rFonts w:ascii="Cambria" w:hAnsi="Cambria"/>
                <w:sz w:val="20"/>
                <w:szCs w:val="20"/>
              </w:rPr>
            </w:pPr>
            <w:r w:rsidRPr="006D4FF2">
              <w:rPr>
                <w:rFonts w:ascii="Cambria" w:hAnsi="Cambria"/>
                <w:sz w:val="20"/>
                <w:szCs w:val="20"/>
              </w:rPr>
              <w:t>1</w:t>
            </w:r>
          </w:p>
        </w:tc>
        <w:tc>
          <w:tcPr>
            <w:tcW w:w="1184" w:type="dxa"/>
            <w:shd w:val="clear" w:color="auto" w:fill="E0E0E0"/>
          </w:tcPr>
          <w:p w14:paraId="6BCAF1E2" w14:textId="77777777" w:rsidR="00A61BEB" w:rsidRPr="006D4FF2" w:rsidRDefault="00A61BEB" w:rsidP="006D4FF2">
            <w:pPr>
              <w:widowControl/>
              <w:autoSpaceDE/>
              <w:autoSpaceDN/>
              <w:contextualSpacing/>
              <w:jc w:val="center"/>
              <w:rPr>
                <w:rFonts w:ascii="Cambria" w:hAnsi="Cambria"/>
                <w:sz w:val="20"/>
                <w:szCs w:val="20"/>
              </w:rPr>
            </w:pPr>
            <w:r w:rsidRPr="006D4FF2">
              <w:rPr>
                <w:rFonts w:ascii="Cambria" w:hAnsi="Cambria"/>
                <w:sz w:val="20"/>
                <w:szCs w:val="20"/>
              </w:rPr>
              <w:t>(Constant)</w:t>
            </w:r>
          </w:p>
        </w:tc>
        <w:tc>
          <w:tcPr>
            <w:tcW w:w="1338" w:type="dxa"/>
            <w:shd w:val="clear" w:color="auto" w:fill="FFFFFF"/>
          </w:tcPr>
          <w:p w14:paraId="63AE61DC" w14:textId="77777777" w:rsidR="00A61BEB" w:rsidRPr="006D4FF2" w:rsidRDefault="00A61BEB" w:rsidP="006D4FF2">
            <w:pPr>
              <w:widowControl/>
              <w:autoSpaceDE/>
              <w:autoSpaceDN/>
              <w:contextualSpacing/>
              <w:jc w:val="center"/>
              <w:rPr>
                <w:rFonts w:ascii="Cambria" w:hAnsi="Cambria"/>
                <w:sz w:val="20"/>
                <w:szCs w:val="20"/>
              </w:rPr>
            </w:pPr>
            <w:r w:rsidRPr="006D4FF2">
              <w:rPr>
                <w:rFonts w:ascii="Cambria" w:hAnsi="Cambria"/>
                <w:sz w:val="20"/>
                <w:szCs w:val="20"/>
              </w:rPr>
              <w:t>1.837</w:t>
            </w:r>
          </w:p>
        </w:tc>
        <w:tc>
          <w:tcPr>
            <w:tcW w:w="1338" w:type="dxa"/>
            <w:shd w:val="clear" w:color="auto" w:fill="FFFFFF"/>
          </w:tcPr>
          <w:p w14:paraId="33ED3161" w14:textId="77777777" w:rsidR="00A61BEB" w:rsidRPr="006D4FF2" w:rsidRDefault="00A61BEB" w:rsidP="006D4FF2">
            <w:pPr>
              <w:widowControl/>
              <w:autoSpaceDE/>
              <w:autoSpaceDN/>
              <w:contextualSpacing/>
              <w:jc w:val="center"/>
              <w:rPr>
                <w:rFonts w:ascii="Cambria" w:hAnsi="Cambria"/>
                <w:sz w:val="20"/>
                <w:szCs w:val="20"/>
              </w:rPr>
            </w:pPr>
            <w:r w:rsidRPr="006D4FF2">
              <w:rPr>
                <w:rFonts w:ascii="Cambria" w:hAnsi="Cambria"/>
                <w:sz w:val="20"/>
                <w:szCs w:val="20"/>
              </w:rPr>
              <w:t>.404</w:t>
            </w:r>
          </w:p>
        </w:tc>
        <w:tc>
          <w:tcPr>
            <w:tcW w:w="1476" w:type="dxa"/>
            <w:shd w:val="clear" w:color="auto" w:fill="FFFFFF"/>
            <w:vAlign w:val="center"/>
          </w:tcPr>
          <w:p w14:paraId="2D8C24C4" w14:textId="77777777" w:rsidR="00A61BEB" w:rsidRPr="006D4FF2" w:rsidRDefault="00A61BEB" w:rsidP="006D4FF2">
            <w:pPr>
              <w:widowControl/>
              <w:autoSpaceDE/>
              <w:autoSpaceDN/>
              <w:contextualSpacing/>
              <w:jc w:val="center"/>
              <w:rPr>
                <w:rFonts w:ascii="Cambria" w:hAnsi="Cambria"/>
                <w:sz w:val="20"/>
                <w:szCs w:val="20"/>
              </w:rPr>
            </w:pPr>
          </w:p>
        </w:tc>
        <w:tc>
          <w:tcPr>
            <w:tcW w:w="1030" w:type="dxa"/>
            <w:shd w:val="clear" w:color="auto" w:fill="FFFFFF"/>
          </w:tcPr>
          <w:p w14:paraId="746B3476" w14:textId="77777777" w:rsidR="00A61BEB" w:rsidRPr="006D4FF2" w:rsidRDefault="00A61BEB" w:rsidP="006D4FF2">
            <w:pPr>
              <w:widowControl/>
              <w:autoSpaceDE/>
              <w:autoSpaceDN/>
              <w:contextualSpacing/>
              <w:jc w:val="center"/>
              <w:rPr>
                <w:rFonts w:ascii="Cambria" w:hAnsi="Cambria"/>
                <w:sz w:val="20"/>
                <w:szCs w:val="20"/>
              </w:rPr>
            </w:pPr>
            <w:r w:rsidRPr="006D4FF2">
              <w:rPr>
                <w:rFonts w:ascii="Cambria" w:hAnsi="Cambria"/>
                <w:sz w:val="20"/>
                <w:szCs w:val="20"/>
              </w:rPr>
              <w:t>4.543</w:t>
            </w:r>
          </w:p>
        </w:tc>
        <w:tc>
          <w:tcPr>
            <w:tcW w:w="1030" w:type="dxa"/>
            <w:shd w:val="clear" w:color="auto" w:fill="FFFFFF"/>
          </w:tcPr>
          <w:p w14:paraId="4FC89B16" w14:textId="77777777" w:rsidR="00A61BEB" w:rsidRPr="006D4FF2" w:rsidRDefault="00A61BEB" w:rsidP="006D4FF2">
            <w:pPr>
              <w:widowControl/>
              <w:autoSpaceDE/>
              <w:autoSpaceDN/>
              <w:contextualSpacing/>
              <w:jc w:val="center"/>
              <w:rPr>
                <w:rFonts w:ascii="Cambria" w:hAnsi="Cambria"/>
                <w:sz w:val="20"/>
                <w:szCs w:val="20"/>
              </w:rPr>
            </w:pPr>
            <w:r w:rsidRPr="006D4FF2">
              <w:rPr>
                <w:rFonts w:ascii="Cambria" w:hAnsi="Cambria"/>
                <w:sz w:val="20"/>
                <w:szCs w:val="20"/>
              </w:rPr>
              <w:t>.000</w:t>
            </w:r>
          </w:p>
        </w:tc>
      </w:tr>
      <w:tr w:rsidR="00A61BEB" w:rsidRPr="006D4FF2" w14:paraId="093F16EF" w14:textId="77777777" w:rsidTr="00213C93">
        <w:trPr>
          <w:cantSplit/>
          <w:jc w:val="center"/>
        </w:trPr>
        <w:tc>
          <w:tcPr>
            <w:tcW w:w="736" w:type="dxa"/>
            <w:vMerge/>
            <w:shd w:val="clear" w:color="auto" w:fill="E0E0E0"/>
          </w:tcPr>
          <w:p w14:paraId="3AC6520D" w14:textId="77777777" w:rsidR="00A61BEB" w:rsidRPr="006D4FF2" w:rsidRDefault="00A61BEB" w:rsidP="006D4FF2">
            <w:pPr>
              <w:widowControl/>
              <w:autoSpaceDE/>
              <w:autoSpaceDN/>
              <w:contextualSpacing/>
              <w:jc w:val="center"/>
              <w:rPr>
                <w:rFonts w:ascii="Cambria" w:hAnsi="Cambria"/>
                <w:sz w:val="20"/>
                <w:szCs w:val="20"/>
              </w:rPr>
            </w:pPr>
          </w:p>
        </w:tc>
        <w:tc>
          <w:tcPr>
            <w:tcW w:w="1184" w:type="dxa"/>
            <w:shd w:val="clear" w:color="auto" w:fill="E0E0E0"/>
          </w:tcPr>
          <w:p w14:paraId="6546846D" w14:textId="77777777" w:rsidR="00A61BEB" w:rsidRPr="006D4FF2" w:rsidRDefault="00A61BEB" w:rsidP="006D4FF2">
            <w:pPr>
              <w:widowControl/>
              <w:autoSpaceDE/>
              <w:autoSpaceDN/>
              <w:contextualSpacing/>
              <w:jc w:val="center"/>
              <w:rPr>
                <w:rFonts w:ascii="Cambria" w:hAnsi="Cambria"/>
                <w:sz w:val="20"/>
                <w:szCs w:val="20"/>
              </w:rPr>
            </w:pPr>
            <w:r w:rsidRPr="006D4FF2">
              <w:rPr>
                <w:rFonts w:ascii="Cambria" w:hAnsi="Cambria"/>
                <w:sz w:val="20"/>
                <w:szCs w:val="20"/>
              </w:rPr>
              <w:t>C1</w:t>
            </w:r>
          </w:p>
        </w:tc>
        <w:tc>
          <w:tcPr>
            <w:tcW w:w="1338" w:type="dxa"/>
            <w:shd w:val="clear" w:color="auto" w:fill="FFFFFF"/>
          </w:tcPr>
          <w:p w14:paraId="5D534348" w14:textId="77777777" w:rsidR="00A61BEB" w:rsidRPr="006D4FF2" w:rsidRDefault="00A61BEB" w:rsidP="006D4FF2">
            <w:pPr>
              <w:widowControl/>
              <w:autoSpaceDE/>
              <w:autoSpaceDN/>
              <w:contextualSpacing/>
              <w:jc w:val="center"/>
              <w:rPr>
                <w:rFonts w:ascii="Cambria" w:hAnsi="Cambria"/>
                <w:sz w:val="20"/>
                <w:szCs w:val="20"/>
              </w:rPr>
            </w:pPr>
            <w:r w:rsidRPr="006D4FF2">
              <w:rPr>
                <w:rFonts w:ascii="Cambria" w:hAnsi="Cambria"/>
                <w:sz w:val="20"/>
                <w:szCs w:val="20"/>
              </w:rPr>
              <w:t>.510</w:t>
            </w:r>
          </w:p>
        </w:tc>
        <w:tc>
          <w:tcPr>
            <w:tcW w:w="1338" w:type="dxa"/>
            <w:shd w:val="clear" w:color="auto" w:fill="FFFFFF"/>
          </w:tcPr>
          <w:p w14:paraId="5E48FA65" w14:textId="77777777" w:rsidR="00A61BEB" w:rsidRPr="006D4FF2" w:rsidRDefault="00A61BEB" w:rsidP="006D4FF2">
            <w:pPr>
              <w:widowControl/>
              <w:autoSpaceDE/>
              <w:autoSpaceDN/>
              <w:contextualSpacing/>
              <w:jc w:val="center"/>
              <w:rPr>
                <w:rFonts w:ascii="Cambria" w:hAnsi="Cambria"/>
                <w:sz w:val="20"/>
                <w:szCs w:val="20"/>
              </w:rPr>
            </w:pPr>
            <w:r w:rsidRPr="006D4FF2">
              <w:rPr>
                <w:rFonts w:ascii="Cambria" w:hAnsi="Cambria"/>
                <w:sz w:val="20"/>
                <w:szCs w:val="20"/>
              </w:rPr>
              <w:t>.108</w:t>
            </w:r>
          </w:p>
        </w:tc>
        <w:tc>
          <w:tcPr>
            <w:tcW w:w="1476" w:type="dxa"/>
            <w:shd w:val="clear" w:color="auto" w:fill="FFFFFF"/>
          </w:tcPr>
          <w:p w14:paraId="30BADB58" w14:textId="77777777" w:rsidR="00A61BEB" w:rsidRPr="006D4FF2" w:rsidRDefault="00A61BEB" w:rsidP="006D4FF2">
            <w:pPr>
              <w:widowControl/>
              <w:autoSpaceDE/>
              <w:autoSpaceDN/>
              <w:contextualSpacing/>
              <w:jc w:val="center"/>
              <w:rPr>
                <w:rFonts w:ascii="Cambria" w:hAnsi="Cambria"/>
                <w:sz w:val="20"/>
                <w:szCs w:val="20"/>
              </w:rPr>
            </w:pPr>
            <w:r w:rsidRPr="006D4FF2">
              <w:rPr>
                <w:rFonts w:ascii="Cambria" w:hAnsi="Cambria"/>
                <w:sz w:val="20"/>
                <w:szCs w:val="20"/>
              </w:rPr>
              <w:t>.399</w:t>
            </w:r>
          </w:p>
        </w:tc>
        <w:tc>
          <w:tcPr>
            <w:tcW w:w="1030" w:type="dxa"/>
            <w:shd w:val="clear" w:color="auto" w:fill="FFFFFF"/>
          </w:tcPr>
          <w:p w14:paraId="0B7D92F8" w14:textId="77777777" w:rsidR="00A61BEB" w:rsidRPr="006D4FF2" w:rsidRDefault="00A61BEB" w:rsidP="006D4FF2">
            <w:pPr>
              <w:widowControl/>
              <w:autoSpaceDE/>
              <w:autoSpaceDN/>
              <w:contextualSpacing/>
              <w:jc w:val="center"/>
              <w:rPr>
                <w:rFonts w:ascii="Cambria" w:hAnsi="Cambria"/>
                <w:sz w:val="20"/>
                <w:szCs w:val="20"/>
              </w:rPr>
            </w:pPr>
            <w:r w:rsidRPr="006D4FF2">
              <w:rPr>
                <w:rFonts w:ascii="Cambria" w:hAnsi="Cambria"/>
                <w:sz w:val="20"/>
                <w:szCs w:val="20"/>
              </w:rPr>
              <w:t>4.745</w:t>
            </w:r>
          </w:p>
        </w:tc>
        <w:tc>
          <w:tcPr>
            <w:tcW w:w="1030" w:type="dxa"/>
            <w:shd w:val="clear" w:color="auto" w:fill="FFFFFF"/>
          </w:tcPr>
          <w:p w14:paraId="6B7BD8F5" w14:textId="77777777" w:rsidR="00A61BEB" w:rsidRPr="006D4FF2" w:rsidRDefault="00A61BEB" w:rsidP="006D4FF2">
            <w:pPr>
              <w:widowControl/>
              <w:autoSpaceDE/>
              <w:autoSpaceDN/>
              <w:contextualSpacing/>
              <w:jc w:val="center"/>
              <w:rPr>
                <w:rFonts w:ascii="Cambria" w:hAnsi="Cambria"/>
                <w:sz w:val="20"/>
                <w:szCs w:val="20"/>
              </w:rPr>
            </w:pPr>
            <w:r w:rsidRPr="006D4FF2">
              <w:rPr>
                <w:rFonts w:ascii="Cambria" w:hAnsi="Cambria"/>
                <w:sz w:val="20"/>
                <w:szCs w:val="20"/>
              </w:rPr>
              <w:t>.000</w:t>
            </w:r>
          </w:p>
        </w:tc>
      </w:tr>
      <w:tr w:rsidR="00A61BEB" w:rsidRPr="006D4FF2" w14:paraId="6EBA99C8" w14:textId="77777777" w:rsidTr="00213C93">
        <w:trPr>
          <w:cantSplit/>
          <w:jc w:val="center"/>
        </w:trPr>
        <w:tc>
          <w:tcPr>
            <w:tcW w:w="8132" w:type="dxa"/>
            <w:gridSpan w:val="7"/>
            <w:shd w:val="clear" w:color="auto" w:fill="FFFFFF"/>
          </w:tcPr>
          <w:p w14:paraId="545F7FE7" w14:textId="77777777" w:rsidR="00A61BEB" w:rsidRPr="006D4FF2" w:rsidRDefault="00A61BEB" w:rsidP="006D4FF2">
            <w:pPr>
              <w:widowControl/>
              <w:autoSpaceDE/>
              <w:autoSpaceDN/>
              <w:contextualSpacing/>
              <w:jc w:val="center"/>
              <w:rPr>
                <w:rFonts w:ascii="Cambria" w:hAnsi="Cambria"/>
                <w:sz w:val="20"/>
                <w:szCs w:val="20"/>
              </w:rPr>
            </w:pPr>
            <w:r w:rsidRPr="006D4FF2">
              <w:rPr>
                <w:rFonts w:ascii="Cambria" w:hAnsi="Cambria"/>
                <w:sz w:val="20"/>
                <w:szCs w:val="20"/>
              </w:rPr>
              <w:t>a. Dependent Variable: C3</w:t>
            </w:r>
          </w:p>
        </w:tc>
      </w:tr>
    </w:tbl>
    <w:p w14:paraId="458FD5D7" w14:textId="77777777" w:rsidR="00A61BEB" w:rsidRDefault="00A61BEB" w:rsidP="006D4FF2">
      <w:pPr>
        <w:widowControl/>
        <w:autoSpaceDE/>
        <w:autoSpaceDN/>
        <w:contextualSpacing/>
        <w:jc w:val="both"/>
        <w:rPr>
          <w:rFonts w:ascii="Cambria" w:hAnsi="Cambria"/>
          <w:sz w:val="20"/>
          <w:szCs w:val="20"/>
        </w:rPr>
      </w:pPr>
    </w:p>
    <w:p w14:paraId="47671F27" w14:textId="77777777" w:rsidR="00A61BEB" w:rsidRP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There is significant evidence to justify the impact of foreign policy instruments on India’s foreign trade due to geopolitical disturbance, where the p-value is less than 0.05. According to the Model Summary, ANOVA, and Coefficient p-value is 0.00, which shows the significance of the hypothesis by applying the F-test. </w:t>
      </w:r>
    </w:p>
    <w:p w14:paraId="5A22E532" w14:textId="77777777" w:rsidR="00A61BEB" w:rsidRP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lastRenderedPageBreak/>
        <w:t xml:space="preserve"> </w:t>
      </w:r>
    </w:p>
    <w:p w14:paraId="2220A07A" w14:textId="10610FA9" w:rsidR="00A61BEB" w:rsidRP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HA2: A force for companies to look for other trading partners must require, due to geopolitical disturbance in India’s foreign trade.</w:t>
      </w:r>
    </w:p>
    <w:p w14:paraId="29F42F3E" w14:textId="77777777" w:rsidR="006D4FF2" w:rsidRDefault="006D4FF2" w:rsidP="006D4FF2">
      <w:pPr>
        <w:widowControl/>
        <w:autoSpaceDE/>
        <w:autoSpaceDN/>
        <w:contextualSpacing/>
        <w:jc w:val="both"/>
        <w:rPr>
          <w:rFonts w:ascii="Cambria" w:hAnsi="Cambria"/>
          <w:sz w:val="20"/>
          <w:szCs w:val="20"/>
        </w:rPr>
      </w:pPr>
    </w:p>
    <w:p w14:paraId="3230FC53" w14:textId="524130A6" w:rsidR="00A61BEB" w:rsidRPr="006D4FF2" w:rsidRDefault="00A61BEB" w:rsidP="006D4FF2">
      <w:pPr>
        <w:widowControl/>
        <w:autoSpaceDE/>
        <w:autoSpaceDN/>
        <w:contextualSpacing/>
        <w:jc w:val="center"/>
        <w:rPr>
          <w:rFonts w:ascii="Cambria" w:hAnsi="Cambria"/>
          <w:b/>
          <w:bCs/>
          <w:sz w:val="20"/>
          <w:szCs w:val="20"/>
        </w:rPr>
      </w:pPr>
      <w:r w:rsidRPr="006D4FF2">
        <w:rPr>
          <w:rFonts w:ascii="Cambria" w:hAnsi="Cambria"/>
          <w:b/>
          <w:bCs/>
          <w:sz w:val="20"/>
          <w:szCs w:val="20"/>
        </w:rPr>
        <w:t>Table 10: Variables</w:t>
      </w:r>
    </w:p>
    <w:tbl>
      <w:tblPr>
        <w:tblW w:w="4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9"/>
        <w:gridCol w:w="1476"/>
        <w:gridCol w:w="1476"/>
        <w:gridCol w:w="1029"/>
      </w:tblGrid>
      <w:tr w:rsidR="00A61BEB" w:rsidRPr="006D4FF2" w14:paraId="6BBB3BC5" w14:textId="77777777" w:rsidTr="00213C93">
        <w:trPr>
          <w:cantSplit/>
          <w:jc w:val="center"/>
        </w:trPr>
        <w:tc>
          <w:tcPr>
            <w:tcW w:w="4780" w:type="dxa"/>
            <w:gridSpan w:val="4"/>
            <w:shd w:val="clear" w:color="auto" w:fill="FFFFFF"/>
            <w:vAlign w:val="center"/>
          </w:tcPr>
          <w:p w14:paraId="5603D2CF"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Variables Entered/Removeda</w:t>
            </w:r>
          </w:p>
        </w:tc>
      </w:tr>
      <w:tr w:rsidR="00A61BEB" w:rsidRPr="006D4FF2" w14:paraId="2E6DA1E0" w14:textId="77777777" w:rsidTr="00213C93">
        <w:trPr>
          <w:cantSplit/>
          <w:jc w:val="center"/>
        </w:trPr>
        <w:tc>
          <w:tcPr>
            <w:tcW w:w="799" w:type="dxa"/>
            <w:shd w:val="clear" w:color="auto" w:fill="FFFFFF"/>
            <w:vAlign w:val="bottom"/>
          </w:tcPr>
          <w:p w14:paraId="08F0D5FA"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Model</w:t>
            </w:r>
          </w:p>
        </w:tc>
        <w:tc>
          <w:tcPr>
            <w:tcW w:w="1476" w:type="dxa"/>
            <w:shd w:val="clear" w:color="auto" w:fill="FFFFFF"/>
            <w:vAlign w:val="bottom"/>
          </w:tcPr>
          <w:p w14:paraId="1A4D9065"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Variables Entered</w:t>
            </w:r>
          </w:p>
        </w:tc>
        <w:tc>
          <w:tcPr>
            <w:tcW w:w="1476" w:type="dxa"/>
            <w:shd w:val="clear" w:color="auto" w:fill="FFFFFF"/>
            <w:vAlign w:val="bottom"/>
          </w:tcPr>
          <w:p w14:paraId="2CA92B7D"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Variables Removed</w:t>
            </w:r>
          </w:p>
        </w:tc>
        <w:tc>
          <w:tcPr>
            <w:tcW w:w="1029" w:type="dxa"/>
            <w:shd w:val="clear" w:color="auto" w:fill="FFFFFF"/>
            <w:vAlign w:val="bottom"/>
          </w:tcPr>
          <w:p w14:paraId="70F6281C"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Method</w:t>
            </w:r>
          </w:p>
        </w:tc>
      </w:tr>
      <w:tr w:rsidR="00A61BEB" w:rsidRPr="006D4FF2" w14:paraId="0070897A" w14:textId="77777777" w:rsidTr="00213C93">
        <w:trPr>
          <w:cantSplit/>
          <w:jc w:val="center"/>
        </w:trPr>
        <w:tc>
          <w:tcPr>
            <w:tcW w:w="799" w:type="dxa"/>
            <w:shd w:val="clear" w:color="auto" w:fill="E0E0E0"/>
          </w:tcPr>
          <w:p w14:paraId="3EE7D0D6"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w:t>
            </w:r>
          </w:p>
        </w:tc>
        <w:tc>
          <w:tcPr>
            <w:tcW w:w="1476" w:type="dxa"/>
            <w:shd w:val="clear" w:color="auto" w:fill="FFFFFF"/>
          </w:tcPr>
          <w:p w14:paraId="5E438000"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C2b</w:t>
            </w:r>
          </w:p>
        </w:tc>
        <w:tc>
          <w:tcPr>
            <w:tcW w:w="1476" w:type="dxa"/>
            <w:shd w:val="clear" w:color="auto" w:fill="FFFFFF"/>
          </w:tcPr>
          <w:p w14:paraId="5E926D2B"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w:t>
            </w:r>
          </w:p>
        </w:tc>
        <w:tc>
          <w:tcPr>
            <w:tcW w:w="1029" w:type="dxa"/>
            <w:shd w:val="clear" w:color="auto" w:fill="FFFFFF"/>
          </w:tcPr>
          <w:p w14:paraId="3272FD6A"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Enter</w:t>
            </w:r>
          </w:p>
        </w:tc>
      </w:tr>
      <w:tr w:rsidR="00A61BEB" w:rsidRPr="006D4FF2" w14:paraId="346E356E" w14:textId="77777777" w:rsidTr="00213C93">
        <w:trPr>
          <w:cantSplit/>
          <w:jc w:val="center"/>
        </w:trPr>
        <w:tc>
          <w:tcPr>
            <w:tcW w:w="4780" w:type="dxa"/>
            <w:gridSpan w:val="4"/>
            <w:shd w:val="clear" w:color="auto" w:fill="FFFFFF"/>
          </w:tcPr>
          <w:p w14:paraId="7856C91C"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a. Dependent Variable: C3</w:t>
            </w:r>
          </w:p>
        </w:tc>
      </w:tr>
      <w:tr w:rsidR="00A61BEB" w:rsidRPr="006D4FF2" w14:paraId="5E76B20B" w14:textId="77777777" w:rsidTr="00213C93">
        <w:trPr>
          <w:cantSplit/>
          <w:jc w:val="center"/>
        </w:trPr>
        <w:tc>
          <w:tcPr>
            <w:tcW w:w="4780" w:type="dxa"/>
            <w:gridSpan w:val="4"/>
            <w:shd w:val="clear" w:color="auto" w:fill="FFFFFF"/>
          </w:tcPr>
          <w:p w14:paraId="03047E87"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b. All requested variables entered.</w:t>
            </w:r>
          </w:p>
        </w:tc>
      </w:tr>
    </w:tbl>
    <w:p w14:paraId="2D133C7A" w14:textId="77777777" w:rsidR="00A61BEB" w:rsidRDefault="00A61BEB" w:rsidP="006D4FF2">
      <w:pPr>
        <w:widowControl/>
        <w:autoSpaceDE/>
        <w:autoSpaceDN/>
        <w:contextualSpacing/>
        <w:jc w:val="both"/>
        <w:rPr>
          <w:rFonts w:ascii="Cambria" w:hAnsi="Cambria"/>
          <w:sz w:val="20"/>
          <w:szCs w:val="20"/>
        </w:rPr>
      </w:pPr>
    </w:p>
    <w:p w14:paraId="4550E4BD" w14:textId="77777777" w:rsidR="00A61BEB" w:rsidRPr="006D4FF2" w:rsidRDefault="00A61BEB" w:rsidP="006D4FF2">
      <w:pPr>
        <w:widowControl/>
        <w:autoSpaceDE/>
        <w:autoSpaceDN/>
        <w:contextualSpacing/>
        <w:jc w:val="center"/>
        <w:rPr>
          <w:rFonts w:ascii="Cambria" w:hAnsi="Cambria"/>
          <w:b/>
          <w:bCs/>
          <w:sz w:val="20"/>
          <w:szCs w:val="20"/>
        </w:rPr>
      </w:pPr>
      <w:r w:rsidRPr="006D4FF2">
        <w:rPr>
          <w:rFonts w:ascii="Cambria" w:hAnsi="Cambria"/>
          <w:b/>
          <w:bCs/>
          <w:sz w:val="20"/>
          <w:szCs w:val="20"/>
        </w:rPr>
        <w:t>Table 11: Model Summary</w:t>
      </w:r>
    </w:p>
    <w:tbl>
      <w:tblPr>
        <w:tblW w:w="41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43"/>
        <w:gridCol w:w="613"/>
        <w:gridCol w:w="649"/>
        <w:gridCol w:w="882"/>
        <w:gridCol w:w="882"/>
        <w:gridCol w:w="882"/>
        <w:gridCol w:w="670"/>
        <w:gridCol w:w="614"/>
        <w:gridCol w:w="614"/>
        <w:gridCol w:w="886"/>
        <w:gridCol w:w="886"/>
      </w:tblGrid>
      <w:tr w:rsidR="00A61BEB" w:rsidRPr="006D4FF2" w14:paraId="1E9B7033" w14:textId="77777777" w:rsidTr="006D4FF2">
        <w:trPr>
          <w:cantSplit/>
          <w:trHeight w:val="234"/>
          <w:jc w:val="center"/>
        </w:trPr>
        <w:tc>
          <w:tcPr>
            <w:tcW w:w="5000" w:type="pct"/>
            <w:gridSpan w:val="11"/>
            <w:shd w:val="clear" w:color="auto" w:fill="FFFFFF"/>
            <w:vAlign w:val="center"/>
          </w:tcPr>
          <w:p w14:paraId="04111691"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Model Summaryb</w:t>
            </w:r>
          </w:p>
        </w:tc>
      </w:tr>
      <w:tr w:rsidR="006D4FF2" w:rsidRPr="006D4FF2" w14:paraId="47322A09" w14:textId="77777777" w:rsidTr="006D4FF2">
        <w:trPr>
          <w:cantSplit/>
          <w:trHeight w:val="246"/>
          <w:jc w:val="center"/>
        </w:trPr>
        <w:tc>
          <w:tcPr>
            <w:tcW w:w="295" w:type="pct"/>
            <w:vMerge w:val="restart"/>
            <w:shd w:val="clear" w:color="auto" w:fill="FFFFFF"/>
            <w:vAlign w:val="bottom"/>
          </w:tcPr>
          <w:p w14:paraId="4C2C1EDB"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Model</w:t>
            </w:r>
          </w:p>
        </w:tc>
        <w:tc>
          <w:tcPr>
            <w:tcW w:w="382" w:type="pct"/>
            <w:vMerge w:val="restart"/>
            <w:shd w:val="clear" w:color="auto" w:fill="FFFFFF"/>
            <w:vAlign w:val="bottom"/>
          </w:tcPr>
          <w:p w14:paraId="53A89897"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R</w:t>
            </w:r>
          </w:p>
        </w:tc>
        <w:tc>
          <w:tcPr>
            <w:tcW w:w="404" w:type="pct"/>
            <w:vMerge w:val="restart"/>
            <w:shd w:val="clear" w:color="auto" w:fill="FFFFFF"/>
            <w:vAlign w:val="bottom"/>
          </w:tcPr>
          <w:p w14:paraId="05F2BB51"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R Square</w:t>
            </w:r>
          </w:p>
        </w:tc>
        <w:tc>
          <w:tcPr>
            <w:tcW w:w="547" w:type="pct"/>
            <w:vMerge w:val="restart"/>
            <w:shd w:val="clear" w:color="auto" w:fill="FFFFFF"/>
            <w:vAlign w:val="bottom"/>
          </w:tcPr>
          <w:p w14:paraId="4C08B977"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Adjusted R Square</w:t>
            </w:r>
          </w:p>
        </w:tc>
        <w:tc>
          <w:tcPr>
            <w:tcW w:w="547" w:type="pct"/>
            <w:vMerge w:val="restart"/>
            <w:shd w:val="clear" w:color="auto" w:fill="FFFFFF"/>
            <w:vAlign w:val="bottom"/>
          </w:tcPr>
          <w:p w14:paraId="05BFD610"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Std. Error of the Estimate</w:t>
            </w:r>
          </w:p>
        </w:tc>
        <w:tc>
          <w:tcPr>
            <w:tcW w:w="2275" w:type="pct"/>
            <w:gridSpan w:val="5"/>
            <w:shd w:val="clear" w:color="auto" w:fill="FFFFFF"/>
            <w:vAlign w:val="bottom"/>
          </w:tcPr>
          <w:p w14:paraId="2B83D065"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Change Statistics</w:t>
            </w:r>
          </w:p>
        </w:tc>
        <w:tc>
          <w:tcPr>
            <w:tcW w:w="547" w:type="pct"/>
            <w:vMerge w:val="restart"/>
            <w:shd w:val="clear" w:color="auto" w:fill="FFFFFF"/>
            <w:vAlign w:val="bottom"/>
          </w:tcPr>
          <w:p w14:paraId="7ADE8F73"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Durbin-Watson</w:t>
            </w:r>
          </w:p>
        </w:tc>
      </w:tr>
      <w:tr w:rsidR="006D4FF2" w:rsidRPr="006D4FF2" w14:paraId="183C68BF" w14:textId="77777777" w:rsidTr="006D4FF2">
        <w:trPr>
          <w:cantSplit/>
          <w:trHeight w:val="148"/>
          <w:jc w:val="center"/>
        </w:trPr>
        <w:tc>
          <w:tcPr>
            <w:tcW w:w="295" w:type="pct"/>
            <w:vMerge/>
            <w:shd w:val="clear" w:color="auto" w:fill="FFFFFF"/>
            <w:vAlign w:val="bottom"/>
          </w:tcPr>
          <w:p w14:paraId="6A836D77" w14:textId="77777777" w:rsidR="00A61BEB" w:rsidRPr="006D4FF2" w:rsidRDefault="00A61BEB" w:rsidP="006D4FF2">
            <w:pPr>
              <w:widowControl/>
              <w:autoSpaceDE/>
              <w:autoSpaceDN/>
              <w:contextualSpacing/>
              <w:jc w:val="both"/>
              <w:rPr>
                <w:rFonts w:ascii="Cambria" w:hAnsi="Cambria"/>
                <w:sz w:val="20"/>
                <w:szCs w:val="20"/>
              </w:rPr>
            </w:pPr>
          </w:p>
        </w:tc>
        <w:tc>
          <w:tcPr>
            <w:tcW w:w="382" w:type="pct"/>
            <w:vMerge/>
            <w:shd w:val="clear" w:color="auto" w:fill="FFFFFF"/>
            <w:vAlign w:val="bottom"/>
          </w:tcPr>
          <w:p w14:paraId="4F0B5209" w14:textId="77777777" w:rsidR="00A61BEB" w:rsidRPr="006D4FF2" w:rsidRDefault="00A61BEB" w:rsidP="006D4FF2">
            <w:pPr>
              <w:widowControl/>
              <w:autoSpaceDE/>
              <w:autoSpaceDN/>
              <w:contextualSpacing/>
              <w:jc w:val="both"/>
              <w:rPr>
                <w:rFonts w:ascii="Cambria" w:hAnsi="Cambria"/>
                <w:sz w:val="20"/>
                <w:szCs w:val="20"/>
              </w:rPr>
            </w:pPr>
          </w:p>
        </w:tc>
        <w:tc>
          <w:tcPr>
            <w:tcW w:w="404" w:type="pct"/>
            <w:vMerge/>
            <w:shd w:val="clear" w:color="auto" w:fill="FFFFFF"/>
            <w:vAlign w:val="bottom"/>
          </w:tcPr>
          <w:p w14:paraId="0056FB04" w14:textId="77777777" w:rsidR="00A61BEB" w:rsidRPr="006D4FF2" w:rsidRDefault="00A61BEB" w:rsidP="006D4FF2">
            <w:pPr>
              <w:widowControl/>
              <w:autoSpaceDE/>
              <w:autoSpaceDN/>
              <w:contextualSpacing/>
              <w:jc w:val="both"/>
              <w:rPr>
                <w:rFonts w:ascii="Cambria" w:hAnsi="Cambria"/>
                <w:sz w:val="20"/>
                <w:szCs w:val="20"/>
              </w:rPr>
            </w:pPr>
          </w:p>
        </w:tc>
        <w:tc>
          <w:tcPr>
            <w:tcW w:w="547" w:type="pct"/>
            <w:vMerge/>
            <w:shd w:val="clear" w:color="auto" w:fill="FFFFFF"/>
            <w:vAlign w:val="bottom"/>
          </w:tcPr>
          <w:p w14:paraId="23E87078" w14:textId="77777777" w:rsidR="00A61BEB" w:rsidRPr="006D4FF2" w:rsidRDefault="00A61BEB" w:rsidP="006D4FF2">
            <w:pPr>
              <w:widowControl/>
              <w:autoSpaceDE/>
              <w:autoSpaceDN/>
              <w:contextualSpacing/>
              <w:jc w:val="both"/>
              <w:rPr>
                <w:rFonts w:ascii="Cambria" w:hAnsi="Cambria"/>
                <w:sz w:val="20"/>
                <w:szCs w:val="20"/>
              </w:rPr>
            </w:pPr>
          </w:p>
        </w:tc>
        <w:tc>
          <w:tcPr>
            <w:tcW w:w="547" w:type="pct"/>
            <w:vMerge/>
            <w:shd w:val="clear" w:color="auto" w:fill="FFFFFF"/>
            <w:vAlign w:val="bottom"/>
          </w:tcPr>
          <w:p w14:paraId="272F5EEC" w14:textId="77777777" w:rsidR="00A61BEB" w:rsidRPr="006D4FF2" w:rsidRDefault="00A61BEB" w:rsidP="006D4FF2">
            <w:pPr>
              <w:widowControl/>
              <w:autoSpaceDE/>
              <w:autoSpaceDN/>
              <w:contextualSpacing/>
              <w:jc w:val="both"/>
              <w:rPr>
                <w:rFonts w:ascii="Cambria" w:hAnsi="Cambria"/>
                <w:sz w:val="20"/>
                <w:szCs w:val="20"/>
              </w:rPr>
            </w:pPr>
          </w:p>
        </w:tc>
        <w:tc>
          <w:tcPr>
            <w:tcW w:w="547" w:type="pct"/>
            <w:shd w:val="clear" w:color="auto" w:fill="FFFFFF"/>
            <w:vAlign w:val="bottom"/>
          </w:tcPr>
          <w:p w14:paraId="5F5955DB"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R Square Change</w:t>
            </w:r>
          </w:p>
        </w:tc>
        <w:tc>
          <w:tcPr>
            <w:tcW w:w="416" w:type="pct"/>
            <w:shd w:val="clear" w:color="auto" w:fill="FFFFFF"/>
            <w:vAlign w:val="bottom"/>
          </w:tcPr>
          <w:p w14:paraId="013F8F66"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F Change</w:t>
            </w:r>
          </w:p>
        </w:tc>
        <w:tc>
          <w:tcPr>
            <w:tcW w:w="382" w:type="pct"/>
            <w:shd w:val="clear" w:color="auto" w:fill="FFFFFF"/>
            <w:vAlign w:val="bottom"/>
          </w:tcPr>
          <w:p w14:paraId="7E6CF18D"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df1</w:t>
            </w:r>
          </w:p>
        </w:tc>
        <w:tc>
          <w:tcPr>
            <w:tcW w:w="382" w:type="pct"/>
            <w:shd w:val="clear" w:color="auto" w:fill="FFFFFF"/>
            <w:vAlign w:val="bottom"/>
          </w:tcPr>
          <w:p w14:paraId="347BA297"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df2</w:t>
            </w:r>
          </w:p>
        </w:tc>
        <w:tc>
          <w:tcPr>
            <w:tcW w:w="549" w:type="pct"/>
            <w:shd w:val="clear" w:color="auto" w:fill="FFFFFF"/>
            <w:vAlign w:val="bottom"/>
          </w:tcPr>
          <w:p w14:paraId="06193D52"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Sig. F Change</w:t>
            </w:r>
          </w:p>
        </w:tc>
        <w:tc>
          <w:tcPr>
            <w:tcW w:w="547" w:type="pct"/>
            <w:vMerge/>
            <w:shd w:val="clear" w:color="auto" w:fill="FFFFFF"/>
            <w:vAlign w:val="bottom"/>
          </w:tcPr>
          <w:p w14:paraId="11522AB0" w14:textId="77777777" w:rsidR="00A61BEB" w:rsidRPr="006D4FF2" w:rsidRDefault="00A61BEB" w:rsidP="006D4FF2">
            <w:pPr>
              <w:widowControl/>
              <w:autoSpaceDE/>
              <w:autoSpaceDN/>
              <w:contextualSpacing/>
              <w:jc w:val="both"/>
              <w:rPr>
                <w:rFonts w:ascii="Cambria" w:hAnsi="Cambria"/>
                <w:sz w:val="20"/>
                <w:szCs w:val="20"/>
              </w:rPr>
            </w:pPr>
          </w:p>
        </w:tc>
      </w:tr>
      <w:tr w:rsidR="006D4FF2" w:rsidRPr="006D4FF2" w14:paraId="2A0801AF" w14:textId="77777777" w:rsidTr="006D4FF2">
        <w:trPr>
          <w:cantSplit/>
          <w:trHeight w:val="234"/>
          <w:jc w:val="center"/>
        </w:trPr>
        <w:tc>
          <w:tcPr>
            <w:tcW w:w="295" w:type="pct"/>
            <w:shd w:val="clear" w:color="auto" w:fill="E0E0E0"/>
          </w:tcPr>
          <w:p w14:paraId="608B33D0"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w:t>
            </w:r>
          </w:p>
        </w:tc>
        <w:tc>
          <w:tcPr>
            <w:tcW w:w="382" w:type="pct"/>
            <w:shd w:val="clear" w:color="auto" w:fill="FFFFFF"/>
          </w:tcPr>
          <w:p w14:paraId="574F96E4"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.488a</w:t>
            </w:r>
          </w:p>
        </w:tc>
        <w:tc>
          <w:tcPr>
            <w:tcW w:w="404" w:type="pct"/>
            <w:shd w:val="clear" w:color="auto" w:fill="FFFFFF"/>
          </w:tcPr>
          <w:p w14:paraId="235C8AFC"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.238</w:t>
            </w:r>
          </w:p>
        </w:tc>
        <w:tc>
          <w:tcPr>
            <w:tcW w:w="547" w:type="pct"/>
            <w:shd w:val="clear" w:color="auto" w:fill="FFFFFF"/>
          </w:tcPr>
          <w:p w14:paraId="304CBD70"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.231</w:t>
            </w:r>
          </w:p>
        </w:tc>
        <w:tc>
          <w:tcPr>
            <w:tcW w:w="547" w:type="pct"/>
            <w:shd w:val="clear" w:color="auto" w:fill="FFFFFF"/>
          </w:tcPr>
          <w:p w14:paraId="0B0C4E01"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.734</w:t>
            </w:r>
          </w:p>
        </w:tc>
        <w:tc>
          <w:tcPr>
            <w:tcW w:w="547" w:type="pct"/>
            <w:shd w:val="clear" w:color="auto" w:fill="FFFFFF"/>
          </w:tcPr>
          <w:p w14:paraId="72192772"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.238</w:t>
            </w:r>
          </w:p>
        </w:tc>
        <w:tc>
          <w:tcPr>
            <w:tcW w:w="416" w:type="pct"/>
            <w:shd w:val="clear" w:color="auto" w:fill="FFFFFF"/>
          </w:tcPr>
          <w:p w14:paraId="4A0B2B43"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37.121</w:t>
            </w:r>
          </w:p>
        </w:tc>
        <w:tc>
          <w:tcPr>
            <w:tcW w:w="382" w:type="pct"/>
            <w:shd w:val="clear" w:color="auto" w:fill="FFFFFF"/>
          </w:tcPr>
          <w:p w14:paraId="29878414"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w:t>
            </w:r>
          </w:p>
        </w:tc>
        <w:tc>
          <w:tcPr>
            <w:tcW w:w="382" w:type="pct"/>
            <w:shd w:val="clear" w:color="auto" w:fill="FFFFFF"/>
          </w:tcPr>
          <w:p w14:paraId="4EE2CBD5"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119</w:t>
            </w:r>
          </w:p>
        </w:tc>
        <w:tc>
          <w:tcPr>
            <w:tcW w:w="549" w:type="pct"/>
            <w:shd w:val="clear" w:color="auto" w:fill="FFFFFF"/>
          </w:tcPr>
          <w:p w14:paraId="6DB278AD"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.000</w:t>
            </w:r>
          </w:p>
        </w:tc>
        <w:tc>
          <w:tcPr>
            <w:tcW w:w="547" w:type="pct"/>
            <w:shd w:val="clear" w:color="auto" w:fill="FFFFFF"/>
          </w:tcPr>
          <w:p w14:paraId="72CC7DEE"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1.220</w:t>
            </w:r>
          </w:p>
        </w:tc>
      </w:tr>
      <w:tr w:rsidR="00A61BEB" w:rsidRPr="006D4FF2" w14:paraId="68861976" w14:textId="77777777" w:rsidTr="006D4FF2">
        <w:trPr>
          <w:cantSplit/>
          <w:trHeight w:val="234"/>
          <w:jc w:val="center"/>
        </w:trPr>
        <w:tc>
          <w:tcPr>
            <w:tcW w:w="5000" w:type="pct"/>
            <w:gridSpan w:val="11"/>
            <w:shd w:val="clear" w:color="auto" w:fill="FFFFFF"/>
          </w:tcPr>
          <w:p w14:paraId="1035518C"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a. Predictors: (Constant), C2</w:t>
            </w:r>
          </w:p>
        </w:tc>
      </w:tr>
      <w:tr w:rsidR="00A61BEB" w:rsidRPr="006D4FF2" w14:paraId="37982A22" w14:textId="77777777" w:rsidTr="006D4FF2">
        <w:trPr>
          <w:cantSplit/>
          <w:trHeight w:val="246"/>
          <w:jc w:val="center"/>
        </w:trPr>
        <w:tc>
          <w:tcPr>
            <w:tcW w:w="5000" w:type="pct"/>
            <w:gridSpan w:val="11"/>
            <w:shd w:val="clear" w:color="auto" w:fill="FFFFFF"/>
          </w:tcPr>
          <w:p w14:paraId="7B8BA725"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b. Dependent Variable: C3</w:t>
            </w:r>
          </w:p>
        </w:tc>
      </w:tr>
    </w:tbl>
    <w:p w14:paraId="66C73A36" w14:textId="77777777" w:rsidR="00A61BEB" w:rsidRDefault="00A61BEB" w:rsidP="006D4FF2">
      <w:pPr>
        <w:widowControl/>
        <w:autoSpaceDE/>
        <w:autoSpaceDN/>
        <w:contextualSpacing/>
        <w:jc w:val="both"/>
        <w:rPr>
          <w:rFonts w:ascii="Cambria" w:hAnsi="Cambria"/>
          <w:sz w:val="20"/>
          <w:szCs w:val="20"/>
        </w:rPr>
      </w:pPr>
    </w:p>
    <w:p w14:paraId="209068A5" w14:textId="5F0B4873" w:rsidR="00A61BEB" w:rsidRPr="006D4FF2" w:rsidRDefault="00A61BEB" w:rsidP="006D4FF2">
      <w:pPr>
        <w:widowControl/>
        <w:autoSpaceDE/>
        <w:autoSpaceDN/>
        <w:contextualSpacing/>
        <w:jc w:val="center"/>
        <w:rPr>
          <w:rFonts w:ascii="Cambria" w:hAnsi="Cambria"/>
          <w:b/>
          <w:bCs/>
          <w:sz w:val="20"/>
          <w:szCs w:val="20"/>
        </w:rPr>
      </w:pPr>
      <w:r w:rsidRPr="006D4FF2">
        <w:rPr>
          <w:rFonts w:ascii="Cambria" w:hAnsi="Cambria"/>
          <w:b/>
          <w:bCs/>
          <w:sz w:val="20"/>
          <w:szCs w:val="20"/>
        </w:rPr>
        <w:t>Table 12: ANOVA Test</w:t>
      </w:r>
    </w:p>
    <w:tbl>
      <w:tblPr>
        <w:tblW w:w="8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A61BEB" w:rsidRPr="006D4FF2" w14:paraId="73381D75" w14:textId="77777777" w:rsidTr="00213C93">
        <w:trPr>
          <w:cantSplit/>
          <w:jc w:val="center"/>
        </w:trPr>
        <w:tc>
          <w:tcPr>
            <w:tcW w:w="8009" w:type="dxa"/>
            <w:gridSpan w:val="7"/>
            <w:shd w:val="clear" w:color="auto" w:fill="FFFFFF"/>
            <w:vAlign w:val="center"/>
          </w:tcPr>
          <w:p w14:paraId="72E91784"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ANOVAa</w:t>
            </w:r>
          </w:p>
        </w:tc>
      </w:tr>
      <w:tr w:rsidR="00A61BEB" w:rsidRPr="006D4FF2" w14:paraId="17381498" w14:textId="77777777" w:rsidTr="00213C93">
        <w:trPr>
          <w:cantSplit/>
          <w:jc w:val="center"/>
        </w:trPr>
        <w:tc>
          <w:tcPr>
            <w:tcW w:w="2028" w:type="dxa"/>
            <w:gridSpan w:val="2"/>
            <w:shd w:val="clear" w:color="auto" w:fill="FFFFFF"/>
            <w:vAlign w:val="bottom"/>
          </w:tcPr>
          <w:p w14:paraId="4ACF111B"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Model</w:t>
            </w:r>
          </w:p>
        </w:tc>
        <w:tc>
          <w:tcPr>
            <w:tcW w:w="1476" w:type="dxa"/>
            <w:shd w:val="clear" w:color="auto" w:fill="FFFFFF"/>
            <w:vAlign w:val="bottom"/>
          </w:tcPr>
          <w:p w14:paraId="04D01F8A"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Sum of Squares</w:t>
            </w:r>
          </w:p>
        </w:tc>
        <w:tc>
          <w:tcPr>
            <w:tcW w:w="1030" w:type="dxa"/>
            <w:shd w:val="clear" w:color="auto" w:fill="FFFFFF"/>
            <w:vAlign w:val="bottom"/>
          </w:tcPr>
          <w:p w14:paraId="3F56A5BC"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Df</w:t>
            </w:r>
          </w:p>
        </w:tc>
        <w:tc>
          <w:tcPr>
            <w:tcW w:w="1415" w:type="dxa"/>
            <w:shd w:val="clear" w:color="auto" w:fill="FFFFFF"/>
            <w:vAlign w:val="bottom"/>
          </w:tcPr>
          <w:p w14:paraId="7A20E467"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Mean Square</w:t>
            </w:r>
          </w:p>
        </w:tc>
        <w:tc>
          <w:tcPr>
            <w:tcW w:w="1030" w:type="dxa"/>
            <w:shd w:val="clear" w:color="auto" w:fill="FFFFFF"/>
            <w:vAlign w:val="bottom"/>
          </w:tcPr>
          <w:p w14:paraId="5AE72BB8"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F</w:t>
            </w:r>
          </w:p>
        </w:tc>
        <w:tc>
          <w:tcPr>
            <w:tcW w:w="1030" w:type="dxa"/>
            <w:shd w:val="clear" w:color="auto" w:fill="FFFFFF"/>
            <w:vAlign w:val="bottom"/>
          </w:tcPr>
          <w:p w14:paraId="718505B0"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Sig.</w:t>
            </w:r>
          </w:p>
        </w:tc>
      </w:tr>
      <w:tr w:rsidR="00A61BEB" w:rsidRPr="006D4FF2" w14:paraId="2582AEB4" w14:textId="77777777" w:rsidTr="00213C93">
        <w:trPr>
          <w:cantSplit/>
          <w:jc w:val="center"/>
        </w:trPr>
        <w:tc>
          <w:tcPr>
            <w:tcW w:w="736" w:type="dxa"/>
            <w:vMerge w:val="restart"/>
            <w:shd w:val="clear" w:color="auto" w:fill="E0E0E0"/>
          </w:tcPr>
          <w:p w14:paraId="5D7AD52C"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w:t>
            </w:r>
          </w:p>
        </w:tc>
        <w:tc>
          <w:tcPr>
            <w:tcW w:w="1292" w:type="dxa"/>
            <w:shd w:val="clear" w:color="auto" w:fill="E0E0E0"/>
          </w:tcPr>
          <w:p w14:paraId="4C50DD8A"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Regression</w:t>
            </w:r>
          </w:p>
        </w:tc>
        <w:tc>
          <w:tcPr>
            <w:tcW w:w="1476" w:type="dxa"/>
            <w:shd w:val="clear" w:color="auto" w:fill="FFFFFF"/>
          </w:tcPr>
          <w:p w14:paraId="554FC7D4"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19.973</w:t>
            </w:r>
          </w:p>
        </w:tc>
        <w:tc>
          <w:tcPr>
            <w:tcW w:w="1030" w:type="dxa"/>
            <w:shd w:val="clear" w:color="auto" w:fill="FFFFFF"/>
          </w:tcPr>
          <w:p w14:paraId="70B201E7"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w:t>
            </w:r>
          </w:p>
        </w:tc>
        <w:tc>
          <w:tcPr>
            <w:tcW w:w="1415" w:type="dxa"/>
            <w:shd w:val="clear" w:color="auto" w:fill="FFFFFF"/>
          </w:tcPr>
          <w:p w14:paraId="77FFFEB7"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19.973</w:t>
            </w:r>
          </w:p>
        </w:tc>
        <w:tc>
          <w:tcPr>
            <w:tcW w:w="1030" w:type="dxa"/>
            <w:shd w:val="clear" w:color="auto" w:fill="FFFFFF"/>
          </w:tcPr>
          <w:p w14:paraId="32DB9FCD"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37.121</w:t>
            </w:r>
          </w:p>
        </w:tc>
        <w:tc>
          <w:tcPr>
            <w:tcW w:w="1030" w:type="dxa"/>
            <w:shd w:val="clear" w:color="auto" w:fill="FFFFFF"/>
          </w:tcPr>
          <w:p w14:paraId="2E8E55EA"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.000b</w:t>
            </w:r>
          </w:p>
        </w:tc>
      </w:tr>
      <w:tr w:rsidR="00A61BEB" w:rsidRPr="006D4FF2" w14:paraId="082C80F3" w14:textId="77777777" w:rsidTr="00213C93">
        <w:trPr>
          <w:cantSplit/>
          <w:jc w:val="center"/>
        </w:trPr>
        <w:tc>
          <w:tcPr>
            <w:tcW w:w="736" w:type="dxa"/>
            <w:vMerge/>
            <w:shd w:val="clear" w:color="auto" w:fill="E0E0E0"/>
          </w:tcPr>
          <w:p w14:paraId="2174E7D0" w14:textId="77777777" w:rsidR="00A61BEB" w:rsidRPr="006D4FF2" w:rsidRDefault="00A61BEB" w:rsidP="006D4FF2">
            <w:pPr>
              <w:widowControl/>
              <w:autoSpaceDE/>
              <w:autoSpaceDN/>
              <w:contextualSpacing/>
              <w:jc w:val="both"/>
              <w:rPr>
                <w:rFonts w:ascii="Cambria" w:hAnsi="Cambria"/>
                <w:sz w:val="20"/>
                <w:szCs w:val="20"/>
              </w:rPr>
            </w:pPr>
          </w:p>
        </w:tc>
        <w:tc>
          <w:tcPr>
            <w:tcW w:w="1292" w:type="dxa"/>
            <w:shd w:val="clear" w:color="auto" w:fill="E0E0E0"/>
          </w:tcPr>
          <w:p w14:paraId="1CEDE7CA"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Residual</w:t>
            </w:r>
          </w:p>
        </w:tc>
        <w:tc>
          <w:tcPr>
            <w:tcW w:w="1476" w:type="dxa"/>
            <w:shd w:val="clear" w:color="auto" w:fill="FFFFFF"/>
          </w:tcPr>
          <w:p w14:paraId="6DE1DFF6"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64.027</w:t>
            </w:r>
          </w:p>
        </w:tc>
        <w:tc>
          <w:tcPr>
            <w:tcW w:w="1030" w:type="dxa"/>
            <w:shd w:val="clear" w:color="auto" w:fill="FFFFFF"/>
          </w:tcPr>
          <w:p w14:paraId="0D59C752"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119</w:t>
            </w:r>
          </w:p>
        </w:tc>
        <w:tc>
          <w:tcPr>
            <w:tcW w:w="1415" w:type="dxa"/>
            <w:shd w:val="clear" w:color="auto" w:fill="FFFFFF"/>
          </w:tcPr>
          <w:p w14:paraId="48405E72"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.538</w:t>
            </w:r>
          </w:p>
        </w:tc>
        <w:tc>
          <w:tcPr>
            <w:tcW w:w="1030" w:type="dxa"/>
            <w:shd w:val="clear" w:color="auto" w:fill="FFFFFF"/>
            <w:vAlign w:val="center"/>
          </w:tcPr>
          <w:p w14:paraId="68740418" w14:textId="77777777" w:rsidR="00A61BEB" w:rsidRPr="006D4FF2" w:rsidRDefault="00A61BEB" w:rsidP="006D4FF2">
            <w:pPr>
              <w:widowControl/>
              <w:autoSpaceDE/>
              <w:autoSpaceDN/>
              <w:contextualSpacing/>
              <w:jc w:val="both"/>
              <w:rPr>
                <w:rFonts w:ascii="Cambria" w:hAnsi="Cambria"/>
                <w:sz w:val="20"/>
                <w:szCs w:val="20"/>
              </w:rPr>
            </w:pPr>
          </w:p>
        </w:tc>
        <w:tc>
          <w:tcPr>
            <w:tcW w:w="1030" w:type="dxa"/>
            <w:shd w:val="clear" w:color="auto" w:fill="FFFFFF"/>
            <w:vAlign w:val="center"/>
          </w:tcPr>
          <w:p w14:paraId="45CDEDE7" w14:textId="77777777" w:rsidR="00A61BEB" w:rsidRPr="006D4FF2" w:rsidRDefault="00A61BEB" w:rsidP="006D4FF2">
            <w:pPr>
              <w:widowControl/>
              <w:autoSpaceDE/>
              <w:autoSpaceDN/>
              <w:contextualSpacing/>
              <w:jc w:val="both"/>
              <w:rPr>
                <w:rFonts w:ascii="Cambria" w:hAnsi="Cambria"/>
                <w:sz w:val="20"/>
                <w:szCs w:val="20"/>
              </w:rPr>
            </w:pPr>
          </w:p>
        </w:tc>
      </w:tr>
      <w:tr w:rsidR="00A61BEB" w:rsidRPr="006D4FF2" w14:paraId="0C2BEBFE" w14:textId="77777777" w:rsidTr="00213C93">
        <w:trPr>
          <w:cantSplit/>
          <w:jc w:val="center"/>
        </w:trPr>
        <w:tc>
          <w:tcPr>
            <w:tcW w:w="736" w:type="dxa"/>
            <w:vMerge/>
            <w:shd w:val="clear" w:color="auto" w:fill="E0E0E0"/>
          </w:tcPr>
          <w:p w14:paraId="2E5BAF70" w14:textId="77777777" w:rsidR="00A61BEB" w:rsidRPr="006D4FF2" w:rsidRDefault="00A61BEB" w:rsidP="006D4FF2">
            <w:pPr>
              <w:widowControl/>
              <w:autoSpaceDE/>
              <w:autoSpaceDN/>
              <w:contextualSpacing/>
              <w:jc w:val="both"/>
              <w:rPr>
                <w:rFonts w:ascii="Cambria" w:hAnsi="Cambria"/>
                <w:sz w:val="20"/>
                <w:szCs w:val="20"/>
              </w:rPr>
            </w:pPr>
          </w:p>
        </w:tc>
        <w:tc>
          <w:tcPr>
            <w:tcW w:w="1292" w:type="dxa"/>
            <w:shd w:val="clear" w:color="auto" w:fill="E0E0E0"/>
          </w:tcPr>
          <w:p w14:paraId="0E662844"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Total</w:t>
            </w:r>
          </w:p>
        </w:tc>
        <w:tc>
          <w:tcPr>
            <w:tcW w:w="1476" w:type="dxa"/>
            <w:shd w:val="clear" w:color="auto" w:fill="FFFFFF"/>
          </w:tcPr>
          <w:p w14:paraId="0023849C"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84.000</w:t>
            </w:r>
          </w:p>
        </w:tc>
        <w:tc>
          <w:tcPr>
            <w:tcW w:w="1030" w:type="dxa"/>
            <w:shd w:val="clear" w:color="auto" w:fill="FFFFFF"/>
          </w:tcPr>
          <w:p w14:paraId="6DA30838"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120</w:t>
            </w:r>
          </w:p>
        </w:tc>
        <w:tc>
          <w:tcPr>
            <w:tcW w:w="1415" w:type="dxa"/>
            <w:shd w:val="clear" w:color="auto" w:fill="FFFFFF"/>
            <w:vAlign w:val="center"/>
          </w:tcPr>
          <w:p w14:paraId="227F4B5A" w14:textId="77777777" w:rsidR="00A61BEB" w:rsidRPr="006D4FF2" w:rsidRDefault="00A61BEB" w:rsidP="006D4FF2">
            <w:pPr>
              <w:widowControl/>
              <w:autoSpaceDE/>
              <w:autoSpaceDN/>
              <w:contextualSpacing/>
              <w:jc w:val="both"/>
              <w:rPr>
                <w:rFonts w:ascii="Cambria" w:hAnsi="Cambria"/>
                <w:sz w:val="20"/>
                <w:szCs w:val="20"/>
              </w:rPr>
            </w:pPr>
          </w:p>
        </w:tc>
        <w:tc>
          <w:tcPr>
            <w:tcW w:w="1030" w:type="dxa"/>
            <w:shd w:val="clear" w:color="auto" w:fill="FFFFFF"/>
            <w:vAlign w:val="center"/>
          </w:tcPr>
          <w:p w14:paraId="087A7911" w14:textId="77777777" w:rsidR="00A61BEB" w:rsidRPr="006D4FF2" w:rsidRDefault="00A61BEB" w:rsidP="006D4FF2">
            <w:pPr>
              <w:widowControl/>
              <w:autoSpaceDE/>
              <w:autoSpaceDN/>
              <w:contextualSpacing/>
              <w:jc w:val="both"/>
              <w:rPr>
                <w:rFonts w:ascii="Cambria" w:hAnsi="Cambria"/>
                <w:sz w:val="20"/>
                <w:szCs w:val="20"/>
              </w:rPr>
            </w:pPr>
          </w:p>
        </w:tc>
        <w:tc>
          <w:tcPr>
            <w:tcW w:w="1030" w:type="dxa"/>
            <w:shd w:val="clear" w:color="auto" w:fill="FFFFFF"/>
            <w:vAlign w:val="center"/>
          </w:tcPr>
          <w:p w14:paraId="5D832B95" w14:textId="77777777" w:rsidR="00A61BEB" w:rsidRPr="006D4FF2" w:rsidRDefault="00A61BEB" w:rsidP="006D4FF2">
            <w:pPr>
              <w:widowControl/>
              <w:autoSpaceDE/>
              <w:autoSpaceDN/>
              <w:contextualSpacing/>
              <w:jc w:val="both"/>
              <w:rPr>
                <w:rFonts w:ascii="Cambria" w:hAnsi="Cambria"/>
                <w:sz w:val="20"/>
                <w:szCs w:val="20"/>
              </w:rPr>
            </w:pPr>
          </w:p>
        </w:tc>
      </w:tr>
      <w:tr w:rsidR="00A61BEB" w:rsidRPr="006D4FF2" w14:paraId="5572D253" w14:textId="77777777" w:rsidTr="00213C93">
        <w:trPr>
          <w:cantSplit/>
          <w:jc w:val="center"/>
        </w:trPr>
        <w:tc>
          <w:tcPr>
            <w:tcW w:w="8009" w:type="dxa"/>
            <w:gridSpan w:val="7"/>
            <w:shd w:val="clear" w:color="auto" w:fill="FFFFFF"/>
          </w:tcPr>
          <w:p w14:paraId="0C09223A"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a. Dependent Variable: C3</w:t>
            </w:r>
          </w:p>
        </w:tc>
      </w:tr>
      <w:tr w:rsidR="00A61BEB" w:rsidRPr="006D4FF2" w14:paraId="42AAB7EE" w14:textId="77777777" w:rsidTr="00213C93">
        <w:trPr>
          <w:cantSplit/>
          <w:jc w:val="center"/>
        </w:trPr>
        <w:tc>
          <w:tcPr>
            <w:tcW w:w="8009" w:type="dxa"/>
            <w:gridSpan w:val="7"/>
            <w:shd w:val="clear" w:color="auto" w:fill="FFFFFF"/>
          </w:tcPr>
          <w:p w14:paraId="30FBB064"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b. Predictors: (Constant), C2</w:t>
            </w:r>
          </w:p>
        </w:tc>
      </w:tr>
    </w:tbl>
    <w:p w14:paraId="5F5C4C54" w14:textId="77777777" w:rsidR="00A61BEB" w:rsidRDefault="00A61BEB" w:rsidP="006D4FF2">
      <w:pPr>
        <w:widowControl/>
        <w:autoSpaceDE/>
        <w:autoSpaceDN/>
        <w:contextualSpacing/>
        <w:jc w:val="both"/>
        <w:rPr>
          <w:rFonts w:ascii="Cambria" w:hAnsi="Cambria"/>
          <w:sz w:val="20"/>
          <w:szCs w:val="20"/>
        </w:rPr>
      </w:pPr>
    </w:p>
    <w:p w14:paraId="24ECD63D" w14:textId="2CE3BAA7" w:rsidR="00A61BEB" w:rsidRPr="006D4FF2" w:rsidRDefault="00A61BEB" w:rsidP="006D4FF2">
      <w:pPr>
        <w:widowControl/>
        <w:autoSpaceDE/>
        <w:autoSpaceDN/>
        <w:contextualSpacing/>
        <w:jc w:val="center"/>
        <w:rPr>
          <w:rFonts w:ascii="Cambria" w:hAnsi="Cambria"/>
          <w:b/>
          <w:bCs/>
          <w:sz w:val="20"/>
          <w:szCs w:val="20"/>
        </w:rPr>
      </w:pPr>
      <w:r w:rsidRPr="006D4FF2">
        <w:rPr>
          <w:rFonts w:ascii="Cambria" w:hAnsi="Cambria"/>
          <w:b/>
          <w:bCs/>
          <w:sz w:val="20"/>
          <w:szCs w:val="20"/>
        </w:rPr>
        <w:t>Table 13: Coefficient Test</w:t>
      </w:r>
    </w:p>
    <w:tbl>
      <w:tblPr>
        <w:tblW w:w="8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184"/>
        <w:gridCol w:w="1338"/>
        <w:gridCol w:w="1338"/>
        <w:gridCol w:w="1476"/>
        <w:gridCol w:w="1030"/>
        <w:gridCol w:w="1030"/>
      </w:tblGrid>
      <w:tr w:rsidR="00A61BEB" w:rsidRPr="006D4FF2" w14:paraId="7A52899F" w14:textId="77777777" w:rsidTr="00213C93">
        <w:trPr>
          <w:cantSplit/>
          <w:jc w:val="center"/>
        </w:trPr>
        <w:tc>
          <w:tcPr>
            <w:tcW w:w="8127" w:type="dxa"/>
            <w:gridSpan w:val="7"/>
            <w:shd w:val="clear" w:color="auto" w:fill="FFFFFF"/>
            <w:vAlign w:val="center"/>
          </w:tcPr>
          <w:p w14:paraId="3EC08246"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Coefficientsa</w:t>
            </w:r>
          </w:p>
        </w:tc>
      </w:tr>
      <w:tr w:rsidR="00A61BEB" w:rsidRPr="006D4FF2" w14:paraId="1E7FB83B" w14:textId="77777777" w:rsidTr="00213C93">
        <w:trPr>
          <w:cantSplit/>
          <w:jc w:val="center"/>
        </w:trPr>
        <w:tc>
          <w:tcPr>
            <w:tcW w:w="1920" w:type="dxa"/>
            <w:gridSpan w:val="2"/>
            <w:vMerge w:val="restart"/>
            <w:shd w:val="clear" w:color="auto" w:fill="FFFFFF"/>
            <w:vAlign w:val="bottom"/>
          </w:tcPr>
          <w:p w14:paraId="4B76A2EE"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Model</w:t>
            </w:r>
          </w:p>
        </w:tc>
        <w:tc>
          <w:tcPr>
            <w:tcW w:w="2674" w:type="dxa"/>
            <w:gridSpan w:val="2"/>
            <w:shd w:val="clear" w:color="auto" w:fill="FFFFFF"/>
            <w:vAlign w:val="bottom"/>
          </w:tcPr>
          <w:p w14:paraId="21555C34"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Unstandardized Coefficients</w:t>
            </w:r>
          </w:p>
        </w:tc>
        <w:tc>
          <w:tcPr>
            <w:tcW w:w="1475" w:type="dxa"/>
            <w:shd w:val="clear" w:color="auto" w:fill="FFFFFF"/>
            <w:vAlign w:val="bottom"/>
          </w:tcPr>
          <w:p w14:paraId="62BF0544"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Standardized Coefficients</w:t>
            </w:r>
          </w:p>
        </w:tc>
        <w:tc>
          <w:tcPr>
            <w:tcW w:w="1029" w:type="dxa"/>
            <w:vMerge w:val="restart"/>
            <w:shd w:val="clear" w:color="auto" w:fill="FFFFFF"/>
            <w:vAlign w:val="bottom"/>
          </w:tcPr>
          <w:p w14:paraId="5539DB64"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T</w:t>
            </w:r>
          </w:p>
        </w:tc>
        <w:tc>
          <w:tcPr>
            <w:tcW w:w="1029" w:type="dxa"/>
            <w:vMerge w:val="restart"/>
            <w:shd w:val="clear" w:color="auto" w:fill="FFFFFF"/>
            <w:vAlign w:val="bottom"/>
          </w:tcPr>
          <w:p w14:paraId="27A2756E"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Sig.</w:t>
            </w:r>
          </w:p>
        </w:tc>
      </w:tr>
      <w:tr w:rsidR="00A61BEB" w:rsidRPr="006D4FF2" w14:paraId="683A7698" w14:textId="77777777" w:rsidTr="00213C93">
        <w:trPr>
          <w:cantSplit/>
          <w:jc w:val="center"/>
        </w:trPr>
        <w:tc>
          <w:tcPr>
            <w:tcW w:w="1920" w:type="dxa"/>
            <w:gridSpan w:val="2"/>
            <w:vMerge/>
            <w:shd w:val="clear" w:color="auto" w:fill="FFFFFF"/>
            <w:vAlign w:val="bottom"/>
          </w:tcPr>
          <w:p w14:paraId="24CB7CE9" w14:textId="77777777" w:rsidR="00A61BEB" w:rsidRPr="006D4FF2" w:rsidRDefault="00A61BEB" w:rsidP="006D4FF2">
            <w:pPr>
              <w:widowControl/>
              <w:autoSpaceDE/>
              <w:autoSpaceDN/>
              <w:contextualSpacing/>
              <w:jc w:val="both"/>
              <w:rPr>
                <w:rFonts w:ascii="Cambria" w:hAnsi="Cambria"/>
                <w:sz w:val="20"/>
                <w:szCs w:val="20"/>
              </w:rPr>
            </w:pPr>
          </w:p>
        </w:tc>
        <w:tc>
          <w:tcPr>
            <w:tcW w:w="1337" w:type="dxa"/>
            <w:shd w:val="clear" w:color="auto" w:fill="FFFFFF"/>
            <w:vAlign w:val="bottom"/>
          </w:tcPr>
          <w:p w14:paraId="2D83C971"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B</w:t>
            </w:r>
          </w:p>
        </w:tc>
        <w:tc>
          <w:tcPr>
            <w:tcW w:w="1337" w:type="dxa"/>
            <w:shd w:val="clear" w:color="auto" w:fill="FFFFFF"/>
            <w:vAlign w:val="bottom"/>
          </w:tcPr>
          <w:p w14:paraId="33D3C2E0"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Std. Error</w:t>
            </w:r>
          </w:p>
        </w:tc>
        <w:tc>
          <w:tcPr>
            <w:tcW w:w="1475" w:type="dxa"/>
            <w:shd w:val="clear" w:color="auto" w:fill="FFFFFF"/>
            <w:vAlign w:val="bottom"/>
          </w:tcPr>
          <w:p w14:paraId="5DE7E882"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Beta</w:t>
            </w:r>
          </w:p>
        </w:tc>
        <w:tc>
          <w:tcPr>
            <w:tcW w:w="1029" w:type="dxa"/>
            <w:vMerge/>
            <w:shd w:val="clear" w:color="auto" w:fill="FFFFFF"/>
            <w:vAlign w:val="bottom"/>
          </w:tcPr>
          <w:p w14:paraId="24CFBAF7" w14:textId="77777777" w:rsidR="00A61BEB" w:rsidRPr="006D4FF2" w:rsidRDefault="00A61BEB" w:rsidP="006D4FF2">
            <w:pPr>
              <w:widowControl/>
              <w:autoSpaceDE/>
              <w:autoSpaceDN/>
              <w:contextualSpacing/>
              <w:jc w:val="both"/>
              <w:rPr>
                <w:rFonts w:ascii="Cambria" w:hAnsi="Cambria"/>
                <w:sz w:val="20"/>
                <w:szCs w:val="20"/>
              </w:rPr>
            </w:pPr>
          </w:p>
        </w:tc>
        <w:tc>
          <w:tcPr>
            <w:tcW w:w="1029" w:type="dxa"/>
            <w:vMerge/>
            <w:shd w:val="clear" w:color="auto" w:fill="FFFFFF"/>
            <w:vAlign w:val="bottom"/>
          </w:tcPr>
          <w:p w14:paraId="5044533F" w14:textId="77777777" w:rsidR="00A61BEB" w:rsidRPr="006D4FF2" w:rsidRDefault="00A61BEB" w:rsidP="006D4FF2">
            <w:pPr>
              <w:widowControl/>
              <w:autoSpaceDE/>
              <w:autoSpaceDN/>
              <w:contextualSpacing/>
              <w:jc w:val="both"/>
              <w:rPr>
                <w:rFonts w:ascii="Cambria" w:hAnsi="Cambria"/>
                <w:sz w:val="20"/>
                <w:szCs w:val="20"/>
              </w:rPr>
            </w:pPr>
          </w:p>
        </w:tc>
      </w:tr>
      <w:tr w:rsidR="00A61BEB" w:rsidRPr="006D4FF2" w14:paraId="7847FD26" w14:textId="77777777" w:rsidTr="00213C93">
        <w:trPr>
          <w:cantSplit/>
          <w:jc w:val="center"/>
        </w:trPr>
        <w:tc>
          <w:tcPr>
            <w:tcW w:w="737" w:type="dxa"/>
            <w:vMerge w:val="restart"/>
            <w:shd w:val="clear" w:color="auto" w:fill="E0E0E0"/>
          </w:tcPr>
          <w:p w14:paraId="25E495D6"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w:t>
            </w:r>
          </w:p>
        </w:tc>
        <w:tc>
          <w:tcPr>
            <w:tcW w:w="1183" w:type="dxa"/>
            <w:shd w:val="clear" w:color="auto" w:fill="E0E0E0"/>
          </w:tcPr>
          <w:p w14:paraId="4D550CCE"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(Constant)</w:t>
            </w:r>
          </w:p>
        </w:tc>
        <w:tc>
          <w:tcPr>
            <w:tcW w:w="1337" w:type="dxa"/>
            <w:shd w:val="clear" w:color="auto" w:fill="FFFFFF"/>
          </w:tcPr>
          <w:p w14:paraId="52D92169"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1.602</w:t>
            </w:r>
          </w:p>
        </w:tc>
        <w:tc>
          <w:tcPr>
            <w:tcW w:w="1337" w:type="dxa"/>
            <w:shd w:val="clear" w:color="auto" w:fill="FFFFFF"/>
          </w:tcPr>
          <w:p w14:paraId="6EE3AC88"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.355</w:t>
            </w:r>
          </w:p>
        </w:tc>
        <w:tc>
          <w:tcPr>
            <w:tcW w:w="1475" w:type="dxa"/>
            <w:shd w:val="clear" w:color="auto" w:fill="FFFFFF"/>
            <w:vAlign w:val="center"/>
          </w:tcPr>
          <w:p w14:paraId="2F5ED31F" w14:textId="77777777" w:rsidR="00A61BEB" w:rsidRPr="006D4FF2" w:rsidRDefault="00A61BEB" w:rsidP="006D4FF2">
            <w:pPr>
              <w:widowControl/>
              <w:autoSpaceDE/>
              <w:autoSpaceDN/>
              <w:contextualSpacing/>
              <w:jc w:val="both"/>
              <w:rPr>
                <w:rFonts w:ascii="Cambria" w:hAnsi="Cambria"/>
                <w:sz w:val="20"/>
                <w:szCs w:val="20"/>
              </w:rPr>
            </w:pPr>
          </w:p>
        </w:tc>
        <w:tc>
          <w:tcPr>
            <w:tcW w:w="1029" w:type="dxa"/>
            <w:shd w:val="clear" w:color="auto" w:fill="FFFFFF"/>
          </w:tcPr>
          <w:p w14:paraId="63D60D86"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4.510</w:t>
            </w:r>
          </w:p>
        </w:tc>
        <w:tc>
          <w:tcPr>
            <w:tcW w:w="1029" w:type="dxa"/>
            <w:shd w:val="clear" w:color="auto" w:fill="FFFFFF"/>
          </w:tcPr>
          <w:p w14:paraId="25D1AF8A"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.000</w:t>
            </w:r>
          </w:p>
        </w:tc>
      </w:tr>
      <w:tr w:rsidR="00A61BEB" w:rsidRPr="006D4FF2" w14:paraId="59AFD264" w14:textId="77777777" w:rsidTr="00213C93">
        <w:trPr>
          <w:cantSplit/>
          <w:jc w:val="center"/>
        </w:trPr>
        <w:tc>
          <w:tcPr>
            <w:tcW w:w="737" w:type="dxa"/>
            <w:vMerge/>
            <w:shd w:val="clear" w:color="auto" w:fill="E0E0E0"/>
          </w:tcPr>
          <w:p w14:paraId="7CC78799" w14:textId="77777777" w:rsidR="00A61BEB" w:rsidRPr="006D4FF2" w:rsidRDefault="00A61BEB" w:rsidP="006D4FF2">
            <w:pPr>
              <w:widowControl/>
              <w:autoSpaceDE/>
              <w:autoSpaceDN/>
              <w:contextualSpacing/>
              <w:jc w:val="both"/>
              <w:rPr>
                <w:rFonts w:ascii="Cambria" w:hAnsi="Cambria"/>
                <w:sz w:val="20"/>
                <w:szCs w:val="20"/>
              </w:rPr>
            </w:pPr>
          </w:p>
        </w:tc>
        <w:tc>
          <w:tcPr>
            <w:tcW w:w="1183" w:type="dxa"/>
            <w:shd w:val="clear" w:color="auto" w:fill="E0E0E0"/>
          </w:tcPr>
          <w:p w14:paraId="0DA9EEE6"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C2</w:t>
            </w:r>
          </w:p>
        </w:tc>
        <w:tc>
          <w:tcPr>
            <w:tcW w:w="1337" w:type="dxa"/>
            <w:shd w:val="clear" w:color="auto" w:fill="FFFFFF"/>
          </w:tcPr>
          <w:p w14:paraId="4B3E99D6"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.577</w:t>
            </w:r>
          </w:p>
        </w:tc>
        <w:tc>
          <w:tcPr>
            <w:tcW w:w="1337" w:type="dxa"/>
            <w:shd w:val="clear" w:color="auto" w:fill="FFFFFF"/>
          </w:tcPr>
          <w:p w14:paraId="3BA08DFE"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.095</w:t>
            </w:r>
          </w:p>
        </w:tc>
        <w:tc>
          <w:tcPr>
            <w:tcW w:w="1475" w:type="dxa"/>
            <w:shd w:val="clear" w:color="auto" w:fill="FFFFFF"/>
          </w:tcPr>
          <w:p w14:paraId="19742EA7"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.488</w:t>
            </w:r>
          </w:p>
        </w:tc>
        <w:tc>
          <w:tcPr>
            <w:tcW w:w="1029" w:type="dxa"/>
            <w:shd w:val="clear" w:color="auto" w:fill="FFFFFF"/>
          </w:tcPr>
          <w:p w14:paraId="192E8D4B"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6.093</w:t>
            </w:r>
          </w:p>
        </w:tc>
        <w:tc>
          <w:tcPr>
            <w:tcW w:w="1029" w:type="dxa"/>
            <w:shd w:val="clear" w:color="auto" w:fill="FFFFFF"/>
          </w:tcPr>
          <w:p w14:paraId="29EF3ACF"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.000</w:t>
            </w:r>
          </w:p>
        </w:tc>
      </w:tr>
      <w:tr w:rsidR="00A61BEB" w:rsidRPr="006D4FF2" w14:paraId="7FE40271" w14:textId="77777777" w:rsidTr="00213C93">
        <w:trPr>
          <w:cantSplit/>
          <w:jc w:val="center"/>
        </w:trPr>
        <w:tc>
          <w:tcPr>
            <w:tcW w:w="8127" w:type="dxa"/>
            <w:gridSpan w:val="7"/>
            <w:shd w:val="clear" w:color="auto" w:fill="FFFFFF"/>
          </w:tcPr>
          <w:p w14:paraId="49273333" w14:textId="77777777" w:rsidR="00A61BEB" w:rsidRPr="006D4FF2" w:rsidRDefault="00A61BEB" w:rsidP="006D4FF2">
            <w:pPr>
              <w:widowControl/>
              <w:autoSpaceDE/>
              <w:autoSpaceDN/>
              <w:contextualSpacing/>
              <w:jc w:val="both"/>
              <w:rPr>
                <w:rFonts w:ascii="Cambria" w:hAnsi="Cambria"/>
                <w:sz w:val="20"/>
                <w:szCs w:val="20"/>
              </w:rPr>
            </w:pPr>
            <w:r w:rsidRPr="006D4FF2">
              <w:rPr>
                <w:rFonts w:ascii="Cambria" w:hAnsi="Cambria"/>
                <w:sz w:val="20"/>
                <w:szCs w:val="20"/>
              </w:rPr>
              <w:t>a. Dependent Variable: C3</w:t>
            </w:r>
          </w:p>
        </w:tc>
      </w:tr>
    </w:tbl>
    <w:p w14:paraId="400C9BC4" w14:textId="77777777" w:rsidR="00A61BEB" w:rsidRDefault="00A61BEB" w:rsidP="006D4FF2">
      <w:pPr>
        <w:widowControl/>
        <w:autoSpaceDE/>
        <w:autoSpaceDN/>
        <w:contextualSpacing/>
        <w:jc w:val="both"/>
        <w:rPr>
          <w:rFonts w:ascii="Cambria" w:hAnsi="Cambria"/>
          <w:sz w:val="20"/>
          <w:szCs w:val="20"/>
        </w:rPr>
      </w:pPr>
    </w:p>
    <w:p w14:paraId="52163112" w14:textId="77777777" w:rsidR="006D4FF2"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companies to look for other trading partners or rearrange supply chains—often at greater costs due to geopolitical disturbance in India’s foreign trade, as the p-value of the relevant tests is less than 0.05. According to the Model Summary, ANOVA, and the Coefficient p-value is 0.00, which shows the significance of the hypothesis by applying the F-test. </w:t>
      </w:r>
    </w:p>
    <w:p w14:paraId="22DDB304" w14:textId="77777777" w:rsidR="006D4FF2" w:rsidRDefault="006D4FF2" w:rsidP="006D4FF2">
      <w:pPr>
        <w:widowControl/>
        <w:autoSpaceDE/>
        <w:autoSpaceDN/>
        <w:contextualSpacing/>
        <w:jc w:val="both"/>
        <w:rPr>
          <w:rFonts w:ascii="Cambria" w:hAnsi="Cambria"/>
          <w:sz w:val="20"/>
          <w:szCs w:val="20"/>
        </w:rPr>
      </w:pPr>
    </w:p>
    <w:p w14:paraId="51DF9E72" w14:textId="77777777" w:rsidR="006D4FF2" w:rsidRDefault="006D4FF2" w:rsidP="006D4FF2">
      <w:pPr>
        <w:widowControl/>
        <w:autoSpaceDE/>
        <w:autoSpaceDN/>
        <w:contextualSpacing/>
        <w:jc w:val="both"/>
        <w:rPr>
          <w:rFonts w:ascii="Cambria" w:hAnsi="Cambria"/>
          <w:sz w:val="20"/>
          <w:szCs w:val="20"/>
        </w:rPr>
        <w:sectPr w:rsidR="006D4FF2" w:rsidSect="006D4FF2">
          <w:type w:val="continuous"/>
          <w:pgSz w:w="11910" w:h="16840" w:code="9"/>
          <w:pgMar w:top="1440" w:right="1080" w:bottom="1440" w:left="1080" w:header="567" w:footer="822" w:gutter="0"/>
          <w:cols w:space="720"/>
          <w:titlePg/>
          <w:docGrid w:linePitch="299"/>
        </w:sectPr>
      </w:pPr>
    </w:p>
    <w:p w14:paraId="1F1597B4" w14:textId="6DD68E6B" w:rsidR="00A61BEB" w:rsidRPr="006D4FF2" w:rsidRDefault="006D4FF2" w:rsidP="006D4FF2">
      <w:pPr>
        <w:widowControl/>
        <w:autoSpaceDE/>
        <w:autoSpaceDN/>
        <w:contextualSpacing/>
        <w:jc w:val="both"/>
        <w:rPr>
          <w:rFonts w:ascii="Cambria" w:hAnsi="Cambria"/>
          <w:b/>
          <w:bCs/>
          <w:sz w:val="24"/>
          <w:szCs w:val="24"/>
        </w:rPr>
      </w:pPr>
      <w:r w:rsidRPr="006D4FF2">
        <w:rPr>
          <w:rFonts w:ascii="Cambria" w:hAnsi="Cambria"/>
          <w:b/>
          <w:bCs/>
          <w:sz w:val="24"/>
          <w:szCs w:val="24"/>
        </w:rPr>
        <w:t>DISCUSSIONS AND FINDINGS</w:t>
      </w:r>
    </w:p>
    <w:p w14:paraId="1A698638" w14:textId="77777777" w:rsidR="00A61BEB" w:rsidRP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The analysis shows that through tariff realignments and policy changes, geopolitical upheavals have a major impact on India's overseas commerce. Findings show that India implemented protective tariff measures to stabilize local markets and provide supply security during international crises like the Russia-Ukraine war and trade disputes between the United States and China. Although these measures helped local businesses, they also increased import costs and created temporary trade imbalances. India has been successful in boosting self-reliance through the appropriate use of tariffs, but export competitiveness may be hampered. Hence, </w:t>
      </w:r>
      <w:r w:rsidRPr="00A61BEB">
        <w:rPr>
          <w:rFonts w:ascii="Cambria" w:hAnsi="Cambria"/>
          <w:sz w:val="20"/>
          <w:szCs w:val="20"/>
        </w:rPr>
        <w:t>maintaining long-term trade growth still requires striking a balance between protectionism and global integration.</w:t>
      </w:r>
    </w:p>
    <w:p w14:paraId="5D4EE42A" w14:textId="77777777" w:rsidR="00A61BEB" w:rsidRPr="00A61BEB" w:rsidRDefault="00A61BEB" w:rsidP="006D4FF2">
      <w:pPr>
        <w:widowControl/>
        <w:autoSpaceDE/>
        <w:autoSpaceDN/>
        <w:contextualSpacing/>
        <w:jc w:val="both"/>
        <w:rPr>
          <w:rFonts w:ascii="Cambria" w:hAnsi="Cambria"/>
          <w:sz w:val="20"/>
          <w:szCs w:val="20"/>
        </w:rPr>
      </w:pPr>
    </w:p>
    <w:p w14:paraId="36940696" w14:textId="24581D37" w:rsidR="00A61BEB" w:rsidRPr="006D4FF2" w:rsidRDefault="006D4FF2" w:rsidP="006D4FF2">
      <w:pPr>
        <w:widowControl/>
        <w:autoSpaceDE/>
        <w:autoSpaceDN/>
        <w:contextualSpacing/>
        <w:jc w:val="both"/>
        <w:rPr>
          <w:rFonts w:ascii="Cambria" w:hAnsi="Cambria"/>
          <w:b/>
          <w:bCs/>
          <w:sz w:val="24"/>
          <w:szCs w:val="24"/>
        </w:rPr>
      </w:pPr>
      <w:r w:rsidRPr="006D4FF2">
        <w:rPr>
          <w:rFonts w:ascii="Cambria" w:hAnsi="Cambria"/>
          <w:b/>
          <w:bCs/>
          <w:sz w:val="24"/>
          <w:szCs w:val="24"/>
        </w:rPr>
        <w:t>CONCLUSION</w:t>
      </w:r>
    </w:p>
    <w:p w14:paraId="4F140AD2" w14:textId="77777777" w:rsid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As the conclusion of the research study, IFTP (India's Foreign Trade Policies) are significantly shaped by geopolitical big changes, especially when it comes to tariff changes intended to promote economic stability and strategic independence. India has adopted a practical strategy that combines protectionism and selective liberalization in response to worldwide uncertainty (Mekala, 2024). Tariff increases might limit export prospects and foreign investments even </w:t>
      </w:r>
      <w:r w:rsidRPr="00A61BEB">
        <w:rPr>
          <w:rFonts w:ascii="Cambria" w:hAnsi="Cambria"/>
          <w:sz w:val="20"/>
          <w:szCs w:val="20"/>
        </w:rPr>
        <w:lastRenderedPageBreak/>
        <w:t xml:space="preserve">though they strengthen domestic sectors and lessen reliance on erratic markets, as highlighted by Handley et al. (2025). </w:t>
      </w:r>
    </w:p>
    <w:p w14:paraId="47A485D7" w14:textId="77777777" w:rsidR="006D4FF2" w:rsidRPr="00A61BEB" w:rsidRDefault="006D4FF2" w:rsidP="006D4FF2">
      <w:pPr>
        <w:widowControl/>
        <w:autoSpaceDE/>
        <w:autoSpaceDN/>
        <w:contextualSpacing/>
        <w:jc w:val="both"/>
        <w:rPr>
          <w:rFonts w:ascii="Cambria" w:hAnsi="Cambria"/>
          <w:sz w:val="20"/>
          <w:szCs w:val="20"/>
        </w:rPr>
      </w:pPr>
    </w:p>
    <w:p w14:paraId="4EF00596" w14:textId="77777777" w:rsidR="00A61BEB" w:rsidRP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A balanced tariff policy that complies with both domestic and international trade standards is therefore essential. Strengthening regional partnerships and commercial diversification would further increase India's resilience in an increasingly unstable geopolitical environment (Singh &amp; Raj, 2025).</w:t>
      </w:r>
    </w:p>
    <w:p w14:paraId="69132986" w14:textId="77777777" w:rsidR="00A61BEB" w:rsidRP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    </w:t>
      </w:r>
    </w:p>
    <w:p w14:paraId="1B3EC77E" w14:textId="34550DBD" w:rsidR="00A61BEB" w:rsidRPr="006D4FF2" w:rsidRDefault="00A61BEB" w:rsidP="006D4FF2">
      <w:pPr>
        <w:widowControl/>
        <w:autoSpaceDE/>
        <w:autoSpaceDN/>
        <w:contextualSpacing/>
        <w:jc w:val="both"/>
        <w:rPr>
          <w:rFonts w:ascii="Cambria" w:hAnsi="Cambria"/>
          <w:b/>
          <w:bCs/>
          <w:sz w:val="20"/>
          <w:szCs w:val="20"/>
        </w:rPr>
      </w:pPr>
      <w:r w:rsidRPr="006D4FF2">
        <w:rPr>
          <w:rFonts w:ascii="Cambria" w:hAnsi="Cambria"/>
          <w:b/>
          <w:bCs/>
          <w:sz w:val="20"/>
          <w:szCs w:val="20"/>
        </w:rPr>
        <w:t>Future Scope</w:t>
      </w:r>
    </w:p>
    <w:p w14:paraId="5277E99D" w14:textId="77777777" w:rsid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As to prefer future studies on “Geopolitical Disturbances” regarding to the “International Trade” looking to geopolitical changes, which may a cause of affect the trade diversification, tariff modifications, and India's integration into global value chains (Singh et al., 2024). This comparative study between developing countries may provide knowledge to gain the successful outcome of India's tariff enforcement initiatives (Singh et al., 2025). However, econometric models may be used to determine the impact of tariff adjustments on industry productivity, foreign direct investment, and export competitiveness as finding secondary data on relevant measurement. </w:t>
      </w:r>
    </w:p>
    <w:p w14:paraId="278D6D3D" w14:textId="77777777" w:rsidR="006D4FF2" w:rsidRPr="00A61BEB" w:rsidRDefault="006D4FF2" w:rsidP="006D4FF2">
      <w:pPr>
        <w:widowControl/>
        <w:autoSpaceDE/>
        <w:autoSpaceDN/>
        <w:contextualSpacing/>
        <w:jc w:val="both"/>
        <w:rPr>
          <w:rFonts w:ascii="Cambria" w:hAnsi="Cambria"/>
          <w:sz w:val="20"/>
          <w:szCs w:val="20"/>
        </w:rPr>
      </w:pPr>
    </w:p>
    <w:p w14:paraId="5D4A18C1" w14:textId="77777777" w:rsidR="00A61BEB" w:rsidRPr="00A61BEB" w:rsidRDefault="00A61BEB" w:rsidP="006D4FF2">
      <w:pPr>
        <w:widowControl/>
        <w:autoSpaceDE/>
        <w:autoSpaceDN/>
        <w:contextualSpacing/>
        <w:jc w:val="both"/>
        <w:rPr>
          <w:rFonts w:ascii="Cambria" w:hAnsi="Cambria"/>
          <w:sz w:val="20"/>
          <w:szCs w:val="20"/>
        </w:rPr>
      </w:pPr>
      <w:r w:rsidRPr="00A61BEB">
        <w:rPr>
          <w:rFonts w:ascii="Cambria" w:hAnsi="Cambria"/>
          <w:sz w:val="20"/>
          <w:szCs w:val="20"/>
        </w:rPr>
        <w:t xml:space="preserve">As in future scope, studies ought to evaluate how regional trade agreements, digital trade, and supply chain resilience might lower risks associated with geopolitics. Through the help of these researches, policymakers could develop more adaptable and economically viable trade frameworks for India's economic growth (Verma et. al., 2024). </w:t>
      </w:r>
    </w:p>
    <w:p w14:paraId="7EA49374" w14:textId="77777777" w:rsidR="00A61BEB" w:rsidRPr="00A61BEB" w:rsidRDefault="00A61BEB" w:rsidP="006D4FF2">
      <w:pPr>
        <w:widowControl/>
        <w:autoSpaceDE/>
        <w:autoSpaceDN/>
        <w:contextualSpacing/>
        <w:jc w:val="both"/>
        <w:rPr>
          <w:rFonts w:ascii="Cambria" w:hAnsi="Cambria"/>
          <w:sz w:val="20"/>
          <w:szCs w:val="20"/>
        </w:rPr>
      </w:pPr>
    </w:p>
    <w:p w14:paraId="0FB7D263" w14:textId="25EEEE71" w:rsidR="00A61BEB" w:rsidRPr="006D4FF2" w:rsidRDefault="006D4FF2" w:rsidP="006D4FF2">
      <w:pPr>
        <w:widowControl/>
        <w:autoSpaceDE/>
        <w:autoSpaceDN/>
        <w:contextualSpacing/>
        <w:jc w:val="both"/>
        <w:rPr>
          <w:rFonts w:ascii="Cambria" w:hAnsi="Cambria"/>
          <w:b/>
          <w:bCs/>
          <w:sz w:val="24"/>
          <w:szCs w:val="24"/>
        </w:rPr>
      </w:pPr>
      <w:r w:rsidRPr="006D4FF2">
        <w:rPr>
          <w:rFonts w:ascii="Cambria" w:hAnsi="Cambria"/>
          <w:b/>
          <w:bCs/>
          <w:sz w:val="24"/>
          <w:szCs w:val="24"/>
        </w:rPr>
        <w:t>REFERENCES</w:t>
      </w:r>
    </w:p>
    <w:p w14:paraId="31470846"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t xml:space="preserve">Aladwan, Mohammad, et al. “The Effectiveness of Governmental Monetary Policies on Economic Performance: Middle East Experiment.” </w:t>
      </w:r>
      <w:r w:rsidRPr="006D4FF2">
        <w:rPr>
          <w:rFonts w:ascii="Cambria" w:hAnsi="Cambria"/>
          <w:i/>
          <w:iCs/>
          <w:sz w:val="20"/>
          <w:szCs w:val="20"/>
          <w:lang w:val="en-IN"/>
        </w:rPr>
        <w:t>Management &amp; Accounting Review</w:t>
      </w:r>
      <w:r w:rsidRPr="006D4FF2">
        <w:rPr>
          <w:rFonts w:ascii="Cambria" w:hAnsi="Cambria"/>
          <w:sz w:val="20"/>
          <w:szCs w:val="20"/>
          <w:lang w:val="en-IN"/>
        </w:rPr>
        <w:t xml:space="preserve">, vol. 23, no. 3, 2024, pp. 205–228. </w:t>
      </w:r>
      <w:hyperlink r:id="rId13" w:tgtFrame="_new" w:history="1">
        <w:r w:rsidRPr="006D4FF2">
          <w:rPr>
            <w:rStyle w:val="Hyperlink"/>
            <w:rFonts w:ascii="Cambria" w:hAnsi="Cambria"/>
            <w:sz w:val="20"/>
            <w:szCs w:val="20"/>
            <w:lang w:val="en-IN"/>
          </w:rPr>
          <w:t>https://doi.org/10.24191/mar.v23i3.233</w:t>
        </w:r>
      </w:hyperlink>
    </w:p>
    <w:p w14:paraId="0D152918"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t xml:space="preserve">Amal, N., and Sabyasachi T. “Geopolitical Instability and Its Ripple Effects on Service Trade.” </w:t>
      </w:r>
      <w:r w:rsidRPr="006D4FF2">
        <w:rPr>
          <w:rFonts w:ascii="Cambria" w:hAnsi="Cambria"/>
          <w:i/>
          <w:iCs/>
          <w:sz w:val="20"/>
          <w:szCs w:val="20"/>
          <w:lang w:val="en-IN"/>
        </w:rPr>
        <w:t>Journal of International Economics and Policy Studies</w:t>
      </w:r>
      <w:r w:rsidRPr="006D4FF2">
        <w:rPr>
          <w:rFonts w:ascii="Cambria" w:hAnsi="Cambria"/>
          <w:sz w:val="20"/>
          <w:szCs w:val="20"/>
          <w:lang w:val="en-IN"/>
        </w:rPr>
        <w:t>, vol. 18, no. 2, 2025, pp. 142–159.</w:t>
      </w:r>
    </w:p>
    <w:p w14:paraId="7FD63204"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t xml:space="preserve">Batra, R. </w:t>
      </w:r>
      <w:r w:rsidRPr="006D4FF2">
        <w:rPr>
          <w:rFonts w:ascii="Cambria" w:hAnsi="Cambria"/>
          <w:i/>
          <w:iCs/>
          <w:sz w:val="20"/>
          <w:szCs w:val="20"/>
          <w:lang w:val="en-IN"/>
        </w:rPr>
        <w:t>Geopolitical Tensions and Their Effects on India’s Trade Policy.</w:t>
      </w:r>
      <w:r w:rsidRPr="006D4FF2">
        <w:rPr>
          <w:rFonts w:ascii="Cambria" w:hAnsi="Cambria"/>
          <w:sz w:val="20"/>
          <w:szCs w:val="20"/>
          <w:lang w:val="en-IN"/>
        </w:rPr>
        <w:t xml:space="preserve"> Sage Publications, 2020.</w:t>
      </w:r>
    </w:p>
    <w:p w14:paraId="5749BB6A"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t xml:space="preserve">Bednarski, L., et al. “Geopolitical Disruptions in Global Supply Chains: A State-of-the-Art Literature Review.” </w:t>
      </w:r>
      <w:r w:rsidRPr="006D4FF2">
        <w:rPr>
          <w:rFonts w:ascii="Cambria" w:hAnsi="Cambria"/>
          <w:i/>
          <w:iCs/>
          <w:sz w:val="20"/>
          <w:szCs w:val="20"/>
          <w:lang w:val="en-IN"/>
        </w:rPr>
        <w:t>Production Planning &amp; Control</w:t>
      </w:r>
      <w:r w:rsidRPr="006D4FF2">
        <w:rPr>
          <w:rFonts w:ascii="Cambria" w:hAnsi="Cambria"/>
          <w:sz w:val="20"/>
          <w:szCs w:val="20"/>
          <w:lang w:val="en-IN"/>
        </w:rPr>
        <w:t xml:space="preserve">, vol. 36, no. 4, 2025, pp. 536–562. </w:t>
      </w:r>
      <w:hyperlink r:id="rId14" w:tgtFrame="_new" w:history="1">
        <w:r w:rsidRPr="006D4FF2">
          <w:rPr>
            <w:rStyle w:val="Hyperlink"/>
            <w:rFonts w:ascii="Cambria" w:hAnsi="Cambria"/>
            <w:sz w:val="20"/>
            <w:szCs w:val="20"/>
            <w:lang w:val="en-IN"/>
          </w:rPr>
          <w:t>https://doi.org/10.1080/09537287.2025.1234567</w:t>
        </w:r>
      </w:hyperlink>
    </w:p>
    <w:p w14:paraId="42A7A401"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t xml:space="preserve">Delev, C. “Going Forward by Staying Put: The Political Economy of Stabilizing Trade Agreements and Initiatives.” </w:t>
      </w:r>
      <w:r w:rsidRPr="006D4FF2">
        <w:rPr>
          <w:rFonts w:ascii="Cambria" w:hAnsi="Cambria"/>
          <w:i/>
          <w:iCs/>
          <w:sz w:val="20"/>
          <w:szCs w:val="20"/>
          <w:lang w:val="en-IN"/>
        </w:rPr>
        <w:t xml:space="preserve">Journal of World </w:t>
      </w:r>
      <w:r w:rsidRPr="006D4FF2">
        <w:rPr>
          <w:rFonts w:ascii="Cambria" w:hAnsi="Cambria"/>
          <w:i/>
          <w:iCs/>
          <w:sz w:val="20"/>
          <w:szCs w:val="20"/>
          <w:lang w:val="en-IN"/>
        </w:rPr>
        <w:t>Trade</w:t>
      </w:r>
      <w:r w:rsidRPr="006D4FF2">
        <w:rPr>
          <w:rFonts w:ascii="Cambria" w:hAnsi="Cambria"/>
          <w:sz w:val="20"/>
          <w:szCs w:val="20"/>
          <w:lang w:val="en-IN"/>
        </w:rPr>
        <w:t xml:space="preserve">, vol. 59, no. 3, 2025. </w:t>
      </w:r>
      <w:hyperlink r:id="rId15" w:tgtFrame="_new" w:history="1">
        <w:r w:rsidRPr="006D4FF2">
          <w:rPr>
            <w:rStyle w:val="Hyperlink"/>
            <w:rFonts w:ascii="Cambria" w:hAnsi="Cambria"/>
            <w:sz w:val="20"/>
            <w:szCs w:val="20"/>
            <w:lang w:val="en-IN"/>
          </w:rPr>
          <w:t>https://kluwerlawonline.com/journal/jwt/59/3</w:t>
        </w:r>
      </w:hyperlink>
    </w:p>
    <w:p w14:paraId="344B93AE"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t xml:space="preserve">Dogan, E., M. T. Majeed, and T. Luni. “Analyzing the Impacts of Geopolitical Risk and Economic Uncertainty on Natural Resources Rents.” </w:t>
      </w:r>
      <w:r w:rsidRPr="006D4FF2">
        <w:rPr>
          <w:rFonts w:ascii="Cambria" w:hAnsi="Cambria"/>
          <w:i/>
          <w:iCs/>
          <w:sz w:val="20"/>
          <w:szCs w:val="20"/>
          <w:lang w:val="en-IN"/>
        </w:rPr>
        <w:t>Resources Policy</w:t>
      </w:r>
      <w:r w:rsidRPr="006D4FF2">
        <w:rPr>
          <w:rFonts w:ascii="Cambria" w:hAnsi="Cambria"/>
          <w:sz w:val="20"/>
          <w:szCs w:val="20"/>
          <w:lang w:val="en-IN"/>
        </w:rPr>
        <w:t xml:space="preserve">, vol. 72, 2021, 102056. </w:t>
      </w:r>
      <w:hyperlink r:id="rId16" w:tgtFrame="_new" w:history="1">
        <w:r w:rsidRPr="006D4FF2">
          <w:rPr>
            <w:rStyle w:val="Hyperlink"/>
            <w:rFonts w:ascii="Cambria" w:hAnsi="Cambria"/>
            <w:sz w:val="20"/>
            <w:szCs w:val="20"/>
            <w:lang w:val="en-IN"/>
          </w:rPr>
          <w:t>https://doi.org/10.1016/j.resourpol.2021.102056</w:t>
        </w:r>
      </w:hyperlink>
    </w:p>
    <w:p w14:paraId="526D4178"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t xml:space="preserve">Gong, X., and J. Xu. “Geopolitical Risk and Dynamic Connectedness between Commodity Markets.” </w:t>
      </w:r>
      <w:r w:rsidRPr="006D4FF2">
        <w:rPr>
          <w:rFonts w:ascii="Cambria" w:hAnsi="Cambria"/>
          <w:i/>
          <w:iCs/>
          <w:sz w:val="20"/>
          <w:szCs w:val="20"/>
          <w:lang w:val="en-IN"/>
        </w:rPr>
        <w:t>Energy Economics</w:t>
      </w:r>
      <w:r w:rsidRPr="006D4FF2">
        <w:rPr>
          <w:rFonts w:ascii="Cambria" w:hAnsi="Cambria"/>
          <w:sz w:val="20"/>
          <w:szCs w:val="20"/>
          <w:lang w:val="en-IN"/>
        </w:rPr>
        <w:t xml:space="preserve">, vol. 110, 2022, 106028. </w:t>
      </w:r>
      <w:hyperlink r:id="rId17" w:tgtFrame="_new" w:history="1">
        <w:r w:rsidRPr="006D4FF2">
          <w:rPr>
            <w:rStyle w:val="Hyperlink"/>
            <w:rFonts w:ascii="Cambria" w:hAnsi="Cambria"/>
            <w:sz w:val="20"/>
            <w:szCs w:val="20"/>
            <w:lang w:val="en-IN"/>
          </w:rPr>
          <w:t>https://doi.org/10.1016/j.eneco.2022.106028</w:t>
        </w:r>
      </w:hyperlink>
    </w:p>
    <w:p w14:paraId="44756878"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t xml:space="preserve">Gupta, A., and A. Loya. “Artificial Intelligence and the LIPOR Approach: A Connection for Retail Equity Investors’ Knowledge.” </w:t>
      </w:r>
      <w:r w:rsidRPr="006D4FF2">
        <w:rPr>
          <w:rFonts w:ascii="Cambria" w:hAnsi="Cambria"/>
          <w:i/>
          <w:iCs/>
          <w:sz w:val="20"/>
          <w:szCs w:val="20"/>
          <w:lang w:val="en-IN"/>
        </w:rPr>
        <w:t>European Economic Letters</w:t>
      </w:r>
      <w:r w:rsidRPr="006D4FF2">
        <w:rPr>
          <w:rFonts w:ascii="Cambria" w:hAnsi="Cambria"/>
          <w:sz w:val="20"/>
          <w:szCs w:val="20"/>
          <w:lang w:val="en-IN"/>
        </w:rPr>
        <w:t xml:space="preserve">, vol. 15, no. 2, 2025, pp. 2678–2697. </w:t>
      </w:r>
      <w:hyperlink r:id="rId18" w:tgtFrame="_new" w:history="1">
        <w:r w:rsidRPr="006D4FF2">
          <w:rPr>
            <w:rStyle w:val="Hyperlink"/>
            <w:rFonts w:ascii="Cambria" w:hAnsi="Cambria"/>
            <w:sz w:val="20"/>
            <w:szCs w:val="20"/>
            <w:lang w:val="en-IN"/>
          </w:rPr>
          <w:t>https://doi.org/10.52783/eel.v15i2.3115</w:t>
        </w:r>
      </w:hyperlink>
    </w:p>
    <w:p w14:paraId="67358F32"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t xml:space="preserve">Gupta, A., et al. “Preference of LIPOR Approach to Analyse the Current Forex Retail Trading as Comparative before COVID-19.” </w:t>
      </w:r>
      <w:r w:rsidRPr="006D4FF2">
        <w:rPr>
          <w:rFonts w:ascii="Cambria" w:hAnsi="Cambria"/>
          <w:i/>
          <w:iCs/>
          <w:sz w:val="20"/>
          <w:szCs w:val="20"/>
          <w:lang w:val="en-IN"/>
        </w:rPr>
        <w:t>Proceedings of the International Management Perspective Conference</w:t>
      </w:r>
      <w:r w:rsidRPr="006D4FF2">
        <w:rPr>
          <w:rFonts w:ascii="Cambria" w:hAnsi="Cambria"/>
          <w:sz w:val="20"/>
          <w:szCs w:val="20"/>
          <w:lang w:val="en-IN"/>
        </w:rPr>
        <w:t>, 2024, p. 342.</w:t>
      </w:r>
    </w:p>
    <w:p w14:paraId="0CC35592"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t xml:space="preserve">Gupta, P. “Post-Pandemic Trade Disruptions and Tariff Policy Responses in India.” </w:t>
      </w:r>
      <w:r w:rsidRPr="006D4FF2">
        <w:rPr>
          <w:rFonts w:ascii="Cambria" w:hAnsi="Cambria"/>
          <w:i/>
          <w:iCs/>
          <w:sz w:val="20"/>
          <w:szCs w:val="20"/>
          <w:lang w:val="en-IN"/>
        </w:rPr>
        <w:t>Indian Journal of Economic Studies</w:t>
      </w:r>
      <w:r w:rsidRPr="006D4FF2">
        <w:rPr>
          <w:rFonts w:ascii="Cambria" w:hAnsi="Cambria"/>
          <w:sz w:val="20"/>
          <w:szCs w:val="20"/>
          <w:lang w:val="en-IN"/>
        </w:rPr>
        <w:t xml:space="preserve">, vol. 39, no. 2, 2022, pp. 112–128. </w:t>
      </w:r>
      <w:hyperlink r:id="rId19" w:tgtFrame="_new" w:history="1">
        <w:r w:rsidRPr="006D4FF2">
          <w:rPr>
            <w:rStyle w:val="Hyperlink"/>
            <w:rFonts w:ascii="Cambria" w:hAnsi="Cambria"/>
            <w:sz w:val="20"/>
            <w:szCs w:val="20"/>
            <w:lang w:val="en-IN"/>
          </w:rPr>
          <w:t>https://doi.org/10.1177/ijes.2022.0039</w:t>
        </w:r>
      </w:hyperlink>
    </w:p>
    <w:p w14:paraId="3CB684CD"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t xml:space="preserve">Handley, K., F. Kamal, and R. Monarch. “Rising Import Tariffs, Falling Exports: When Modern Supply Chains Meet Old-Style Protectionism.” </w:t>
      </w:r>
      <w:r w:rsidRPr="006D4FF2">
        <w:rPr>
          <w:rFonts w:ascii="Cambria" w:hAnsi="Cambria"/>
          <w:i/>
          <w:iCs/>
          <w:sz w:val="20"/>
          <w:szCs w:val="20"/>
          <w:lang w:val="en-IN"/>
        </w:rPr>
        <w:t>American Economic Journal: Applied Economics</w:t>
      </w:r>
      <w:r w:rsidRPr="006D4FF2">
        <w:rPr>
          <w:rFonts w:ascii="Cambria" w:hAnsi="Cambria"/>
          <w:sz w:val="20"/>
          <w:szCs w:val="20"/>
          <w:lang w:val="en-IN"/>
        </w:rPr>
        <w:t xml:space="preserve">, vol. 17, no. 1, 2025, pp. 208–238. </w:t>
      </w:r>
      <w:hyperlink r:id="rId20" w:tgtFrame="_new" w:history="1">
        <w:r w:rsidRPr="006D4FF2">
          <w:rPr>
            <w:rStyle w:val="Hyperlink"/>
            <w:rFonts w:ascii="Cambria" w:hAnsi="Cambria"/>
            <w:sz w:val="20"/>
            <w:szCs w:val="20"/>
            <w:lang w:val="en-IN"/>
          </w:rPr>
          <w:t>https://doi.org/10.1257/app.20220617</w:t>
        </w:r>
      </w:hyperlink>
    </w:p>
    <w:p w14:paraId="4111803E"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t xml:space="preserve">Hodula, M., et al. </w:t>
      </w:r>
      <w:r w:rsidRPr="006D4FF2">
        <w:rPr>
          <w:rFonts w:ascii="Cambria" w:hAnsi="Cambria"/>
          <w:i/>
          <w:iCs/>
          <w:sz w:val="20"/>
          <w:szCs w:val="20"/>
          <w:lang w:val="en-IN"/>
        </w:rPr>
        <w:t>Geopolitical Risks and Their Impact on Global Macro-Financial Stability: Literature and Measurements (No. 9/2024).</w:t>
      </w:r>
      <w:r w:rsidRPr="006D4FF2">
        <w:rPr>
          <w:rFonts w:ascii="Cambria" w:hAnsi="Cambria"/>
          <w:sz w:val="20"/>
          <w:szCs w:val="20"/>
          <w:lang w:val="en-IN"/>
        </w:rPr>
        <w:t xml:space="preserve"> BOFIT Discussion Papers, 2024. </w:t>
      </w:r>
      <w:hyperlink r:id="rId21" w:tgtFrame="_new" w:history="1">
        <w:r w:rsidRPr="006D4FF2">
          <w:rPr>
            <w:rStyle w:val="Hyperlink"/>
            <w:rFonts w:ascii="Cambria" w:hAnsi="Cambria"/>
            <w:sz w:val="20"/>
            <w:szCs w:val="20"/>
            <w:lang w:val="en-IN"/>
          </w:rPr>
          <w:t>https://helda.helsinki.fi/bof/handle/123456789/xxxxx</w:t>
        </w:r>
      </w:hyperlink>
    </w:p>
    <w:p w14:paraId="5771A735"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t xml:space="preserve">Kurniawan, M. L. A., et al. “Determinant of Property Price through the Monetary Variables: An ARDL Approach.” </w:t>
      </w:r>
      <w:r w:rsidRPr="006D4FF2">
        <w:rPr>
          <w:rFonts w:ascii="Cambria" w:hAnsi="Cambria"/>
          <w:i/>
          <w:iCs/>
          <w:sz w:val="20"/>
          <w:szCs w:val="20"/>
          <w:lang w:val="en-IN"/>
        </w:rPr>
        <w:t>Jurnal Ekonomi Pembangunan: Kajian Masalah Ekonomi dan Pembangunan</w:t>
      </w:r>
      <w:r w:rsidRPr="006D4FF2">
        <w:rPr>
          <w:rFonts w:ascii="Cambria" w:hAnsi="Cambria"/>
          <w:sz w:val="20"/>
          <w:szCs w:val="20"/>
          <w:lang w:val="en-IN"/>
        </w:rPr>
        <w:t xml:space="preserve">, 2023, pp. 12–23. </w:t>
      </w:r>
      <w:hyperlink r:id="rId22" w:tgtFrame="_new" w:history="1">
        <w:r w:rsidRPr="006D4FF2">
          <w:rPr>
            <w:rStyle w:val="Hyperlink"/>
            <w:rFonts w:ascii="Cambria" w:hAnsi="Cambria"/>
            <w:sz w:val="20"/>
            <w:szCs w:val="20"/>
            <w:lang w:val="en-IN"/>
          </w:rPr>
          <w:t>https://doi.org/10.23917/jep.v24i1.12345</w:t>
        </w:r>
      </w:hyperlink>
    </w:p>
    <w:p w14:paraId="3E28908B"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t xml:space="preserve">Li, H., et al. “Monetary Policy and Its Transmission Channels: Evidence from China.” </w:t>
      </w:r>
      <w:r w:rsidRPr="006D4FF2">
        <w:rPr>
          <w:rFonts w:ascii="Cambria" w:hAnsi="Cambria"/>
          <w:i/>
          <w:iCs/>
          <w:sz w:val="20"/>
          <w:szCs w:val="20"/>
          <w:lang w:val="en-IN"/>
        </w:rPr>
        <w:t>Pacific-Basin Finance Journal</w:t>
      </w:r>
      <w:r w:rsidRPr="006D4FF2">
        <w:rPr>
          <w:rFonts w:ascii="Cambria" w:hAnsi="Cambria"/>
          <w:sz w:val="20"/>
          <w:szCs w:val="20"/>
          <w:lang w:val="en-IN"/>
        </w:rPr>
        <w:t xml:space="preserve">, vol. 68, 2021, 101621. </w:t>
      </w:r>
      <w:hyperlink r:id="rId23" w:tgtFrame="_new" w:history="1">
        <w:r w:rsidRPr="006D4FF2">
          <w:rPr>
            <w:rStyle w:val="Hyperlink"/>
            <w:rFonts w:ascii="Cambria" w:hAnsi="Cambria"/>
            <w:sz w:val="20"/>
            <w:szCs w:val="20"/>
            <w:lang w:val="en-IN"/>
          </w:rPr>
          <w:t>https://doi.org/10.1016/j.pacfin.2021.101621</w:t>
        </w:r>
      </w:hyperlink>
    </w:p>
    <w:p w14:paraId="353DFABD"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lastRenderedPageBreak/>
        <w:t xml:space="preserve">Liadze, I., et al. “Economic Costs of the Russia-Ukraine War.” </w:t>
      </w:r>
      <w:r w:rsidRPr="006D4FF2">
        <w:rPr>
          <w:rFonts w:ascii="Cambria" w:hAnsi="Cambria"/>
          <w:i/>
          <w:iCs/>
          <w:sz w:val="20"/>
          <w:szCs w:val="20"/>
          <w:lang w:val="en-IN"/>
        </w:rPr>
        <w:t>The World Economy</w:t>
      </w:r>
      <w:r w:rsidRPr="006D4FF2">
        <w:rPr>
          <w:rFonts w:ascii="Cambria" w:hAnsi="Cambria"/>
          <w:sz w:val="20"/>
          <w:szCs w:val="20"/>
          <w:lang w:val="en-IN"/>
        </w:rPr>
        <w:t xml:space="preserve">, vol. 46, no. 4, 2023, pp. 874–886. </w:t>
      </w:r>
      <w:hyperlink r:id="rId24" w:tgtFrame="_new" w:history="1">
        <w:r w:rsidRPr="006D4FF2">
          <w:rPr>
            <w:rStyle w:val="Hyperlink"/>
            <w:rFonts w:ascii="Cambria" w:hAnsi="Cambria"/>
            <w:sz w:val="20"/>
            <w:szCs w:val="20"/>
            <w:lang w:val="en-IN"/>
          </w:rPr>
          <w:t>https://doi.org/10.1111/twec.13309</w:t>
        </w:r>
      </w:hyperlink>
    </w:p>
    <w:p w14:paraId="25C90120"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t xml:space="preserve">Lohani, K. K. “Trade Flow of India with BRICS Countries: A Gravity Model Approach.” </w:t>
      </w:r>
      <w:r w:rsidRPr="006D4FF2">
        <w:rPr>
          <w:rFonts w:ascii="Cambria" w:hAnsi="Cambria"/>
          <w:i/>
          <w:iCs/>
          <w:sz w:val="20"/>
          <w:szCs w:val="20"/>
          <w:lang w:val="en-IN"/>
        </w:rPr>
        <w:t>Global Business Review</w:t>
      </w:r>
      <w:r w:rsidRPr="006D4FF2">
        <w:rPr>
          <w:rFonts w:ascii="Cambria" w:hAnsi="Cambria"/>
          <w:sz w:val="20"/>
          <w:szCs w:val="20"/>
          <w:lang w:val="en-IN"/>
        </w:rPr>
        <w:t xml:space="preserve">, vol. 25, no. 1, 2024, pp. 22–39. </w:t>
      </w:r>
      <w:hyperlink r:id="rId25" w:tgtFrame="_new" w:history="1">
        <w:r w:rsidRPr="006D4FF2">
          <w:rPr>
            <w:rStyle w:val="Hyperlink"/>
            <w:rFonts w:ascii="Cambria" w:hAnsi="Cambria"/>
            <w:sz w:val="20"/>
            <w:szCs w:val="20"/>
            <w:lang w:val="en-IN"/>
          </w:rPr>
          <w:t>https://doi.org/10.1177/09721509231123456</w:t>
        </w:r>
      </w:hyperlink>
    </w:p>
    <w:p w14:paraId="2B3CE1A6"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t xml:space="preserve">Luo, Y. “Paradigm Shift and Theoretical Implications for the Era of Global Disorder.” </w:t>
      </w:r>
      <w:r w:rsidRPr="006D4FF2">
        <w:rPr>
          <w:rFonts w:ascii="Cambria" w:hAnsi="Cambria"/>
          <w:i/>
          <w:iCs/>
          <w:sz w:val="20"/>
          <w:szCs w:val="20"/>
          <w:lang w:val="en-IN"/>
        </w:rPr>
        <w:t>Journal of International Business Studies</w:t>
      </w:r>
      <w:r w:rsidRPr="006D4FF2">
        <w:rPr>
          <w:rFonts w:ascii="Cambria" w:hAnsi="Cambria"/>
          <w:sz w:val="20"/>
          <w:szCs w:val="20"/>
          <w:lang w:val="en-IN"/>
        </w:rPr>
        <w:t xml:space="preserve">, vol. 55, no. 2, 2024, pp. 127–135. </w:t>
      </w:r>
      <w:hyperlink r:id="rId26" w:tgtFrame="_new" w:history="1">
        <w:r w:rsidRPr="006D4FF2">
          <w:rPr>
            <w:rStyle w:val="Hyperlink"/>
            <w:rFonts w:ascii="Cambria" w:hAnsi="Cambria"/>
            <w:sz w:val="20"/>
            <w:szCs w:val="20"/>
            <w:lang w:val="en-IN"/>
          </w:rPr>
          <w:t>https://doi.org/10.1057/s41267-023-00601-9</w:t>
        </w:r>
      </w:hyperlink>
    </w:p>
    <w:p w14:paraId="59A9598C"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t xml:space="preserve">Mansoor, S., S. M. Rahman, and J. L. H. Bowden. “Purchase Spillovers from the Metaverse to the Real World: The Roles of Social Presence, Trialability, and Customer Experience.” </w:t>
      </w:r>
      <w:r w:rsidRPr="006D4FF2">
        <w:rPr>
          <w:rFonts w:ascii="Cambria" w:hAnsi="Cambria"/>
          <w:i/>
          <w:iCs/>
          <w:sz w:val="20"/>
          <w:szCs w:val="20"/>
          <w:lang w:val="en-IN"/>
        </w:rPr>
        <w:t>Journal of Consumer Behaviour</w:t>
      </w:r>
      <w:r w:rsidRPr="006D4FF2">
        <w:rPr>
          <w:rFonts w:ascii="Cambria" w:hAnsi="Cambria"/>
          <w:sz w:val="20"/>
          <w:szCs w:val="20"/>
          <w:lang w:val="en-IN"/>
        </w:rPr>
        <w:t xml:space="preserve">, vol. 23, no. 5, 2024, pp. 2501–2552. </w:t>
      </w:r>
      <w:hyperlink r:id="rId27" w:tgtFrame="_new" w:history="1">
        <w:r w:rsidRPr="006D4FF2">
          <w:rPr>
            <w:rStyle w:val="Hyperlink"/>
            <w:rFonts w:ascii="Cambria" w:hAnsi="Cambria"/>
            <w:sz w:val="20"/>
            <w:szCs w:val="20"/>
            <w:lang w:val="en-IN"/>
          </w:rPr>
          <w:t>https://doi.org/10.1002/cb.2193</w:t>
        </w:r>
      </w:hyperlink>
    </w:p>
    <w:p w14:paraId="50DD2B32"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t xml:space="preserve">Mehta, S., and A. Kumar. “Tariff Restructuring and Trade Resilience in Emerging Economies: A Case of India.” </w:t>
      </w:r>
      <w:r w:rsidRPr="006D4FF2">
        <w:rPr>
          <w:rFonts w:ascii="Cambria" w:hAnsi="Cambria"/>
          <w:i/>
          <w:iCs/>
          <w:sz w:val="20"/>
          <w:szCs w:val="20"/>
          <w:lang w:val="en-IN"/>
        </w:rPr>
        <w:t>Journal of International Trade and Economic Development</w:t>
      </w:r>
      <w:r w:rsidRPr="006D4FF2">
        <w:rPr>
          <w:rFonts w:ascii="Cambria" w:hAnsi="Cambria"/>
          <w:sz w:val="20"/>
          <w:szCs w:val="20"/>
          <w:lang w:val="en-IN"/>
        </w:rPr>
        <w:t xml:space="preserve">, vol. 30, no. 7, 2021, pp. 945–962. </w:t>
      </w:r>
      <w:hyperlink r:id="rId28" w:tgtFrame="_new" w:history="1">
        <w:r w:rsidRPr="006D4FF2">
          <w:rPr>
            <w:rStyle w:val="Hyperlink"/>
            <w:rFonts w:ascii="Cambria" w:hAnsi="Cambria"/>
            <w:sz w:val="20"/>
            <w:szCs w:val="20"/>
            <w:lang w:val="en-IN"/>
          </w:rPr>
          <w:t>https://doi.org/10.1080/09638199.2021.1894567</w:t>
        </w:r>
      </w:hyperlink>
    </w:p>
    <w:p w14:paraId="4FCF071D"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t xml:space="preserve">Mekala, M. “Impact of Trade Protectionism on Inward FDI into the Indian Economy.” </w:t>
      </w:r>
      <w:r w:rsidRPr="006D4FF2">
        <w:rPr>
          <w:rFonts w:ascii="Cambria" w:hAnsi="Cambria"/>
          <w:i/>
          <w:iCs/>
          <w:sz w:val="20"/>
          <w:szCs w:val="20"/>
          <w:lang w:val="en-IN"/>
        </w:rPr>
        <w:t>Journal of Emerging Markets and Trade Policy</w:t>
      </w:r>
      <w:r w:rsidRPr="006D4FF2">
        <w:rPr>
          <w:rFonts w:ascii="Cambria" w:hAnsi="Cambria"/>
          <w:sz w:val="20"/>
          <w:szCs w:val="20"/>
          <w:lang w:val="en-IN"/>
        </w:rPr>
        <w:t>, vol. 12, no. 3, 2024, pp. 88–104.</w:t>
      </w:r>
    </w:p>
    <w:p w14:paraId="5450B73B"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t xml:space="preserve">NguyenHuu, T., and D. K. Örsal. “Geopolitical Risks and Financial Stress in Emerging Economies.” </w:t>
      </w:r>
      <w:r w:rsidRPr="006D4FF2">
        <w:rPr>
          <w:rFonts w:ascii="Cambria" w:hAnsi="Cambria"/>
          <w:i/>
          <w:iCs/>
          <w:sz w:val="20"/>
          <w:szCs w:val="20"/>
          <w:lang w:val="en-IN"/>
        </w:rPr>
        <w:t>The World Economy</w:t>
      </w:r>
      <w:r w:rsidRPr="006D4FF2">
        <w:rPr>
          <w:rFonts w:ascii="Cambria" w:hAnsi="Cambria"/>
          <w:sz w:val="20"/>
          <w:szCs w:val="20"/>
          <w:lang w:val="en-IN"/>
        </w:rPr>
        <w:t xml:space="preserve">, vol. 47, no. 1, 2024, pp. 217–237. </w:t>
      </w:r>
      <w:hyperlink r:id="rId29" w:tgtFrame="_new" w:history="1">
        <w:r w:rsidRPr="006D4FF2">
          <w:rPr>
            <w:rStyle w:val="Hyperlink"/>
            <w:rFonts w:ascii="Cambria" w:hAnsi="Cambria"/>
            <w:sz w:val="20"/>
            <w:szCs w:val="20"/>
            <w:lang w:val="en-IN"/>
          </w:rPr>
          <w:t>https://doi.org/10.1111/twec.13420</w:t>
        </w:r>
      </w:hyperlink>
    </w:p>
    <w:p w14:paraId="37922827"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t xml:space="preserve">Pellegrino, G., E. Castelnuovo, and G. Caggiano. “Uncertainty and Monetary Policy during the Great Recession.” </w:t>
      </w:r>
      <w:r w:rsidRPr="006D4FF2">
        <w:rPr>
          <w:rFonts w:ascii="Cambria" w:hAnsi="Cambria"/>
          <w:i/>
          <w:iCs/>
          <w:sz w:val="20"/>
          <w:szCs w:val="20"/>
          <w:lang w:val="en-IN"/>
        </w:rPr>
        <w:t>International Economic Review</w:t>
      </w:r>
      <w:r w:rsidRPr="006D4FF2">
        <w:rPr>
          <w:rFonts w:ascii="Cambria" w:hAnsi="Cambria"/>
          <w:sz w:val="20"/>
          <w:szCs w:val="20"/>
          <w:lang w:val="en-IN"/>
        </w:rPr>
        <w:t xml:space="preserve">, vol. 64, no. 2, 2023, pp. 577–606. </w:t>
      </w:r>
      <w:hyperlink r:id="rId30" w:tgtFrame="_new" w:history="1">
        <w:r w:rsidRPr="006D4FF2">
          <w:rPr>
            <w:rStyle w:val="Hyperlink"/>
            <w:rFonts w:ascii="Cambria" w:hAnsi="Cambria"/>
            <w:sz w:val="20"/>
            <w:szCs w:val="20"/>
            <w:lang w:val="en-IN"/>
          </w:rPr>
          <w:t>https://doi.org/10.1111/iere.12638</w:t>
        </w:r>
      </w:hyperlink>
    </w:p>
    <w:p w14:paraId="7D1B3236"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t xml:space="preserve">Raghuwanshi, S. “Self-Help Groups Members’ Religious Perception and Their Relationship between Financial Literacy and Repayment Intention towards Loan: Considerable Focus on Himachal Pradesh (HP).” </w:t>
      </w:r>
      <w:r w:rsidRPr="006D4FF2">
        <w:rPr>
          <w:rFonts w:ascii="Cambria" w:hAnsi="Cambria"/>
          <w:i/>
          <w:iCs/>
          <w:sz w:val="20"/>
          <w:szCs w:val="20"/>
          <w:lang w:val="en-IN"/>
        </w:rPr>
        <w:t>International Journal</w:t>
      </w:r>
      <w:r w:rsidRPr="006D4FF2">
        <w:rPr>
          <w:rFonts w:ascii="Cambria" w:hAnsi="Cambria"/>
          <w:sz w:val="20"/>
          <w:szCs w:val="20"/>
          <w:lang w:val="en-IN"/>
        </w:rPr>
        <w:t xml:space="preserve">, vol. 5, no. 1, 2024, pp. 380–390. </w:t>
      </w:r>
      <w:hyperlink r:id="rId31" w:tgtFrame="_new" w:history="1">
        <w:r w:rsidRPr="006D4FF2">
          <w:rPr>
            <w:rStyle w:val="Hyperlink"/>
            <w:rFonts w:ascii="Cambria" w:hAnsi="Cambria"/>
            <w:sz w:val="20"/>
            <w:szCs w:val="20"/>
            <w:lang w:val="en-IN"/>
          </w:rPr>
          <w:t>https://doi.org/10.36713/epra12345</w:t>
        </w:r>
      </w:hyperlink>
    </w:p>
    <w:p w14:paraId="17623DDA"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t xml:space="preserve">Singh, A. K., et al. “The Effects of Religion on Indian Buying Behavior: A Conceptual Framework and Research Agenda.” </w:t>
      </w:r>
      <w:r w:rsidRPr="006D4FF2">
        <w:rPr>
          <w:rFonts w:ascii="Cambria" w:hAnsi="Cambria"/>
          <w:i/>
          <w:iCs/>
          <w:sz w:val="20"/>
          <w:szCs w:val="20"/>
          <w:lang w:val="en-IN"/>
        </w:rPr>
        <w:t>International Journal of Religion</w:t>
      </w:r>
      <w:r w:rsidRPr="006D4FF2">
        <w:rPr>
          <w:rFonts w:ascii="Cambria" w:hAnsi="Cambria"/>
          <w:sz w:val="20"/>
          <w:szCs w:val="20"/>
          <w:lang w:val="en-IN"/>
        </w:rPr>
        <w:t xml:space="preserve">, vol. 5, no. 2, 2024, pp. 14–22. </w:t>
      </w:r>
      <w:hyperlink r:id="rId32" w:tgtFrame="_new" w:history="1">
        <w:r w:rsidRPr="006D4FF2">
          <w:rPr>
            <w:rStyle w:val="Hyperlink"/>
            <w:rFonts w:ascii="Cambria" w:hAnsi="Cambria"/>
            <w:sz w:val="20"/>
            <w:szCs w:val="20"/>
            <w:lang w:val="en-IN"/>
          </w:rPr>
          <w:t>https://doi.org/10.32996/ijor.2024.5.2.14</w:t>
        </w:r>
      </w:hyperlink>
    </w:p>
    <w:p w14:paraId="2EEB8DF7"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t xml:space="preserve">Singh, R. R., A. Verma, and V. Dhaka. “Impact of US Tariffs on International Trade: Legal Perspectives and Global Implications.” </w:t>
      </w:r>
      <w:r w:rsidRPr="006D4FF2">
        <w:rPr>
          <w:rFonts w:ascii="Cambria" w:hAnsi="Cambria"/>
          <w:i/>
          <w:iCs/>
          <w:sz w:val="20"/>
          <w:szCs w:val="20"/>
          <w:lang w:val="en-IN"/>
        </w:rPr>
        <w:t>International Journal of Environmental Sciences</w:t>
      </w:r>
      <w:r w:rsidRPr="006D4FF2">
        <w:rPr>
          <w:rFonts w:ascii="Cambria" w:hAnsi="Cambria"/>
          <w:sz w:val="20"/>
          <w:szCs w:val="20"/>
          <w:lang w:val="en-IN"/>
        </w:rPr>
        <w:t xml:space="preserve">, vol. 11, no. 5s, 2025, pp. 614–620. </w:t>
      </w:r>
      <w:hyperlink r:id="rId33" w:tgtFrame="_new" w:history="1">
        <w:r w:rsidRPr="006D4FF2">
          <w:rPr>
            <w:rStyle w:val="Hyperlink"/>
            <w:rFonts w:ascii="Cambria" w:hAnsi="Cambria"/>
            <w:sz w:val="20"/>
            <w:szCs w:val="20"/>
            <w:lang w:val="en-IN"/>
          </w:rPr>
          <w:t>https://doi.org/10.5281/zenodo.1234567</w:t>
        </w:r>
      </w:hyperlink>
    </w:p>
    <w:p w14:paraId="1DB2184C"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t xml:space="preserve">Singh, S. K., and R. S. Raj. “India’s Balancing Act in the Global South: Strategic Imperatives amidst the Resurgence of Geopolitics.” </w:t>
      </w:r>
      <w:r w:rsidRPr="006D4FF2">
        <w:rPr>
          <w:rFonts w:ascii="Cambria" w:hAnsi="Cambria"/>
          <w:i/>
          <w:iCs/>
          <w:sz w:val="20"/>
          <w:szCs w:val="20"/>
          <w:lang w:val="en-IN"/>
        </w:rPr>
        <w:t>The Solidarity Approach in Geography: Cases from the Indian Subcontinent</w:t>
      </w:r>
      <w:r w:rsidRPr="006D4FF2">
        <w:rPr>
          <w:rFonts w:ascii="Cambria" w:hAnsi="Cambria"/>
          <w:sz w:val="20"/>
          <w:szCs w:val="20"/>
          <w:lang w:val="en-IN"/>
        </w:rPr>
        <w:t xml:space="preserve">, edited by [Editor’s Name], Springer Nature Switzerland, 2025, pp. 15–32. </w:t>
      </w:r>
      <w:hyperlink r:id="rId34" w:tgtFrame="_new" w:history="1">
        <w:r w:rsidRPr="006D4FF2">
          <w:rPr>
            <w:rStyle w:val="Hyperlink"/>
            <w:rFonts w:ascii="Cambria" w:hAnsi="Cambria"/>
            <w:sz w:val="20"/>
            <w:szCs w:val="20"/>
            <w:lang w:val="en-IN"/>
          </w:rPr>
          <w:t>https://doi.org/10.1007/978-3-031-XXXX-X_2</w:t>
        </w:r>
      </w:hyperlink>
    </w:p>
    <w:p w14:paraId="545ACDBC"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t xml:space="preserve">Verma, P., et al. “How Do the Socio-Economic Characteristics of Individual Members Influence the Business Effectiveness and Performance of Self-Help Groups with Concerning Sustainable Development Goals: An SEM Approach.” </w:t>
      </w:r>
      <w:r w:rsidRPr="006D4FF2">
        <w:rPr>
          <w:rFonts w:ascii="Cambria" w:hAnsi="Cambria"/>
          <w:i/>
          <w:iCs/>
          <w:sz w:val="20"/>
          <w:szCs w:val="20"/>
          <w:lang w:val="en-IN"/>
        </w:rPr>
        <w:t>International Journal of Economics and Financial Issues</w:t>
      </w:r>
      <w:r w:rsidRPr="006D4FF2">
        <w:rPr>
          <w:rFonts w:ascii="Cambria" w:hAnsi="Cambria"/>
          <w:sz w:val="20"/>
          <w:szCs w:val="20"/>
          <w:lang w:val="en-IN"/>
        </w:rPr>
        <w:t xml:space="preserve">, vol. 14, no. 6, 2024, p. 121. </w:t>
      </w:r>
      <w:hyperlink r:id="rId35" w:tgtFrame="_new" w:history="1">
        <w:r w:rsidRPr="006D4FF2">
          <w:rPr>
            <w:rStyle w:val="Hyperlink"/>
            <w:rFonts w:ascii="Cambria" w:hAnsi="Cambria"/>
            <w:sz w:val="20"/>
            <w:szCs w:val="20"/>
            <w:lang w:val="en-IN"/>
          </w:rPr>
          <w:t>https://doi.org/10.32479/ijefi.14321</w:t>
        </w:r>
      </w:hyperlink>
    </w:p>
    <w:p w14:paraId="3A9392FE" w14:textId="77777777"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sz w:val="20"/>
          <w:szCs w:val="20"/>
          <w:lang w:val="en-IN"/>
        </w:rPr>
        <w:t xml:space="preserve">Wei, X., and L. Han. “The Impact of COVID-19 Pandemic on Transmission of Monetary Policy to Financial Markets.” </w:t>
      </w:r>
      <w:r w:rsidRPr="006D4FF2">
        <w:rPr>
          <w:rFonts w:ascii="Cambria" w:hAnsi="Cambria"/>
          <w:i/>
          <w:iCs/>
          <w:sz w:val="20"/>
          <w:szCs w:val="20"/>
          <w:lang w:val="en-IN"/>
        </w:rPr>
        <w:t>International Review of Financial Analysis</w:t>
      </w:r>
      <w:r w:rsidRPr="006D4FF2">
        <w:rPr>
          <w:rFonts w:ascii="Cambria" w:hAnsi="Cambria"/>
          <w:sz w:val="20"/>
          <w:szCs w:val="20"/>
          <w:lang w:val="en-IN"/>
        </w:rPr>
        <w:t xml:space="preserve">, vol. 74, 2021, 101705. </w:t>
      </w:r>
      <w:hyperlink r:id="rId36" w:tgtFrame="_new" w:history="1">
        <w:r w:rsidRPr="006D4FF2">
          <w:rPr>
            <w:rStyle w:val="Hyperlink"/>
            <w:rFonts w:ascii="Cambria" w:hAnsi="Cambria"/>
            <w:sz w:val="20"/>
            <w:szCs w:val="20"/>
            <w:lang w:val="en-IN"/>
          </w:rPr>
          <w:t>https://doi.org/10.1016/j.irfa.2021.101705</w:t>
        </w:r>
      </w:hyperlink>
    </w:p>
    <w:p w14:paraId="2B2B70BF" w14:textId="4C94FA56" w:rsidR="006D4FF2" w:rsidRPr="006D4FF2" w:rsidRDefault="006D4FF2" w:rsidP="006D4FF2">
      <w:pPr>
        <w:widowControl/>
        <w:numPr>
          <w:ilvl w:val="0"/>
          <w:numId w:val="16"/>
        </w:numPr>
        <w:autoSpaceDE/>
        <w:autoSpaceDN/>
        <w:contextualSpacing/>
        <w:jc w:val="both"/>
        <w:rPr>
          <w:rFonts w:ascii="Cambria" w:hAnsi="Cambria"/>
          <w:sz w:val="20"/>
          <w:szCs w:val="20"/>
          <w:lang w:val="en-IN"/>
        </w:rPr>
      </w:pPr>
      <w:r w:rsidRPr="006D4FF2">
        <w:rPr>
          <w:rFonts w:ascii="Cambria" w:hAnsi="Cambria"/>
          <w:i/>
          <w:iCs/>
          <w:sz w:val="20"/>
          <w:szCs w:val="20"/>
          <w:lang w:val="en-IN"/>
        </w:rPr>
        <w:t>World Trade Organization.</w:t>
      </w:r>
      <w:r w:rsidRPr="006D4FF2">
        <w:rPr>
          <w:rFonts w:ascii="Cambria" w:hAnsi="Cambria"/>
          <w:sz w:val="20"/>
          <w:szCs w:val="20"/>
          <w:lang w:val="en-IN"/>
        </w:rPr>
        <w:t xml:space="preserve"> </w:t>
      </w:r>
      <w:r w:rsidRPr="006D4FF2">
        <w:rPr>
          <w:rFonts w:ascii="Cambria" w:hAnsi="Cambria"/>
          <w:i/>
          <w:iCs/>
          <w:sz w:val="20"/>
          <w:szCs w:val="20"/>
          <w:lang w:val="en-IN"/>
        </w:rPr>
        <w:t>World Trade Report 2023: Re-Globalization for a Secure, Inclusive and Sustainable Future.</w:t>
      </w:r>
      <w:r w:rsidRPr="006D4FF2">
        <w:rPr>
          <w:rFonts w:ascii="Cambria" w:hAnsi="Cambria"/>
          <w:sz w:val="20"/>
          <w:szCs w:val="20"/>
          <w:lang w:val="en-IN"/>
        </w:rPr>
        <w:t xml:space="preserve"> WTO Publications, 2023. </w:t>
      </w:r>
      <w:hyperlink r:id="rId37" w:tgtFrame="_new" w:history="1">
        <w:r w:rsidRPr="006D4FF2">
          <w:rPr>
            <w:rStyle w:val="Hyperlink"/>
            <w:rFonts w:ascii="Cambria" w:hAnsi="Cambria"/>
            <w:sz w:val="20"/>
            <w:szCs w:val="20"/>
            <w:lang w:val="en-IN"/>
          </w:rPr>
          <w:t>https://www.wto.org/english/res_e/reser_e/wtr2023_e.htm</w:t>
        </w:r>
      </w:hyperlink>
    </w:p>
    <w:sectPr w:rsidR="006D4FF2" w:rsidRPr="006D4FF2" w:rsidSect="00325CF9">
      <w:type w:val="continuous"/>
      <w:pgSz w:w="11910" w:h="16840" w:code="9"/>
      <w:pgMar w:top="1440" w:right="1080" w:bottom="1440" w:left="1080" w:header="567" w:footer="822" w:gutter="0"/>
      <w:cols w:num="2"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97664" w14:textId="77777777" w:rsidR="00D61627" w:rsidRDefault="00D61627">
      <w:r>
        <w:separator/>
      </w:r>
    </w:p>
  </w:endnote>
  <w:endnote w:type="continuationSeparator" w:id="0">
    <w:p w14:paraId="5435A319" w14:textId="77777777" w:rsidR="00D61627" w:rsidRDefault="00D61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172417202" w:displacedByCustomXml="next"/>
  <w:bookmarkStart w:id="3" w:name="_Hlk172417201" w:displacedByCustomXml="next"/>
  <w:bookmarkStart w:id="4" w:name="_Hlk172415324" w:displacedByCustomXml="next"/>
  <w:bookmarkStart w:id="5" w:name="_Hlk172415323" w:displacedByCustomXml="next"/>
  <w:bookmarkStart w:id="6" w:name="_Hlk172414395" w:displacedByCustomXml="next"/>
  <w:bookmarkStart w:id="7" w:name="_Hlk172414394" w:displacedByCustomXml="next"/>
  <w:bookmarkStart w:id="8" w:name="_Hlk172412361" w:displacedByCustomXml="next"/>
  <w:bookmarkStart w:id="9" w:name="_Hlk172412360" w:displacedByCustomXml="next"/>
  <w:bookmarkStart w:id="10" w:name="_Hlk172410334" w:displacedByCustomXml="next"/>
  <w:bookmarkStart w:id="11" w:name="_Hlk172410333" w:displacedByCustomXml="next"/>
  <w:sdt>
    <w:sdtPr>
      <w:rPr>
        <w:sz w:val="22"/>
        <w:szCs w:val="22"/>
      </w:rPr>
      <w:id w:val="-2102478859"/>
      <w:docPartObj>
        <w:docPartGallery w:val="Page Numbers (Bottom of Page)"/>
        <w:docPartUnique/>
      </w:docPartObj>
    </w:sdtPr>
    <w:sdtEndPr>
      <w:rPr>
        <w:noProof/>
      </w:rPr>
    </w:sdtEndPr>
    <w:sdtContent>
      <w:p w14:paraId="6D1C9422" w14:textId="1C80DA2B" w:rsidR="00A35323" w:rsidRDefault="00A35323" w:rsidP="00A35323">
        <w:pPr>
          <w:pStyle w:val="BodyText"/>
          <w:spacing w:line="14" w:lineRule="auto"/>
        </w:pPr>
        <w:r>
          <w:rPr>
            <w:noProof/>
            <w:lang w:val="en-IN" w:eastAsia="en-IN"/>
          </w:rPr>
          <mc:AlternateContent>
            <mc:Choice Requires="wps">
              <w:drawing>
                <wp:anchor distT="0" distB="0" distL="0" distR="0" simplePos="0" relativeHeight="251665408" behindDoc="1" locked="0" layoutInCell="1" allowOverlap="1" wp14:anchorId="4C5BB17D" wp14:editId="744F0155">
                  <wp:simplePos x="0" y="0"/>
                  <wp:positionH relativeFrom="page">
                    <wp:posOffset>687788</wp:posOffset>
                  </wp:positionH>
                  <wp:positionV relativeFrom="page">
                    <wp:posOffset>10282623</wp:posOffset>
                  </wp:positionV>
                  <wp:extent cx="372745" cy="127345"/>
                  <wp:effectExtent l="0" t="0" r="0" b="0"/>
                  <wp:wrapNone/>
                  <wp:docPr id="11"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745" cy="127345"/>
                          </a:xfrm>
                          <a:prstGeom prst="rect">
                            <a:avLst/>
                          </a:prstGeom>
                        </wps:spPr>
                        <wps:txbx>
                          <w:txbxContent>
                            <w:p w14:paraId="2D0A8208" w14:textId="77777777" w:rsidR="00A35323" w:rsidRPr="00460799" w:rsidRDefault="00A35323" w:rsidP="00A35323">
                              <w:pPr>
                                <w:spacing w:before="13"/>
                                <w:ind w:left="20"/>
                                <w:rPr>
                                  <w:b/>
                                  <w:color w:val="FFFFFF" w:themeColor="background1"/>
                                  <w:sz w:val="16"/>
                                </w:rPr>
                              </w:pPr>
                              <w:r w:rsidRPr="00460799">
                                <w:rPr>
                                  <w:b/>
                                  <w:color w:val="FFFFFF" w:themeColor="background1"/>
                                  <w:sz w:val="16"/>
                                </w:rPr>
                                <w:fldChar w:fldCharType="begin"/>
                              </w:r>
                              <w:r w:rsidRPr="00460799">
                                <w:rPr>
                                  <w:b/>
                                  <w:color w:val="FFFFFF" w:themeColor="background1"/>
                                  <w:sz w:val="16"/>
                                </w:rPr>
                                <w:instrText xml:space="preserve"> PAGE   \* MERGEFORMAT </w:instrText>
                              </w:r>
                              <w:r w:rsidRPr="00460799">
                                <w:rPr>
                                  <w:b/>
                                  <w:color w:val="FFFFFF" w:themeColor="background1"/>
                                  <w:sz w:val="16"/>
                                </w:rPr>
                                <w:fldChar w:fldCharType="separate"/>
                              </w:r>
                              <w:r>
                                <w:rPr>
                                  <w:b/>
                                  <w:noProof/>
                                  <w:color w:val="FFFFFF" w:themeColor="background1"/>
                                  <w:sz w:val="16"/>
                                </w:rPr>
                                <w:t>1</w:t>
                              </w:r>
                              <w:r w:rsidRPr="00460799">
                                <w:rPr>
                                  <w:b/>
                                  <w:color w:val="FFFFFF" w:themeColor="background1"/>
                                  <w:sz w:val="16"/>
                                </w:rPr>
                                <w:fldChar w:fldCharType="end"/>
                              </w:r>
                            </w:p>
                            <w:p w14:paraId="072B439A" w14:textId="77777777" w:rsidR="00A35323" w:rsidRPr="00460799" w:rsidRDefault="00A35323" w:rsidP="00A35323">
                              <w:pPr>
                                <w:spacing w:before="13"/>
                                <w:ind w:left="20"/>
                                <w:rPr>
                                  <w:b/>
                                  <w:color w:val="FFFFFF" w:themeColor="background1"/>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C5BB17D" id="_x0000_t202" coordsize="21600,21600" o:spt="202" path="m,l,21600r21600,l21600,xe">
                  <v:stroke joinstyle="miter"/>
                  <v:path gradientshapeok="t" o:connecttype="rect"/>
                </v:shapetype>
                <v:shape id="Textbox 6" o:spid="_x0000_s1026" type="#_x0000_t202" style="position:absolute;margin-left:54.15pt;margin-top:809.65pt;width:29.35pt;height:10.0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" filled="f" stroked="f">
                  <v:textbox inset="0,0,0,0">
                    <w:txbxContent>
                      <w:p w14:paraId="2D0A8208" w14:textId="77777777" w:rsidR="00A35323" w:rsidRPr="00460799" w:rsidRDefault="00A35323" w:rsidP="00A35323">
                        <w:pPr>
                          <w:spacing w:before="13"/>
                          <w:ind w:left="20"/>
                          <w:rPr>
                            <w:b/>
                            <w:color w:val="FFFFFF" w:themeColor="background1"/>
                            <w:sz w:val="16"/>
                          </w:rPr>
                        </w:pPr>
                        <w:r w:rsidRPr="00460799">
                          <w:rPr>
                            <w:b/>
                            <w:color w:val="FFFFFF" w:themeColor="background1"/>
                            <w:sz w:val="16"/>
                          </w:rPr>
                          <w:fldChar w:fldCharType="begin"/>
                        </w:r>
                        <w:r w:rsidRPr="00460799">
                          <w:rPr>
                            <w:b/>
                            <w:color w:val="FFFFFF" w:themeColor="background1"/>
                            <w:sz w:val="16"/>
                          </w:rPr>
                          <w:instrText xml:space="preserve"> PAGE   \* MERGEFORMAT </w:instrText>
                        </w:r>
                        <w:r w:rsidRPr="00460799">
                          <w:rPr>
                            <w:b/>
                            <w:color w:val="FFFFFF" w:themeColor="background1"/>
                            <w:sz w:val="16"/>
                          </w:rPr>
                          <w:fldChar w:fldCharType="separate"/>
                        </w:r>
                        <w:r>
                          <w:rPr>
                            <w:b/>
                            <w:noProof/>
                            <w:color w:val="FFFFFF" w:themeColor="background1"/>
                            <w:sz w:val="16"/>
                          </w:rPr>
                          <w:t>1</w:t>
                        </w:r>
                        <w:r w:rsidRPr="00460799">
                          <w:rPr>
                            <w:b/>
                            <w:color w:val="FFFFFF" w:themeColor="background1"/>
                            <w:sz w:val="16"/>
                          </w:rPr>
                          <w:fldChar w:fldCharType="end"/>
                        </w:r>
                      </w:p>
                      <w:p w14:paraId="072B439A" w14:textId="77777777" w:rsidR="00A35323" w:rsidRPr="00460799" w:rsidRDefault="00A35323" w:rsidP="00A35323">
                        <w:pPr>
                          <w:spacing w:before="13"/>
                          <w:ind w:left="20"/>
                          <w:rPr>
                            <w:b/>
                            <w:color w:val="FFFFFF" w:themeColor="background1"/>
                            <w:sz w:val="16"/>
                          </w:rPr>
                        </w:pPr>
                      </w:p>
                    </w:txbxContent>
                  </v:textbox>
                  <w10:wrap anchorx="page" anchory="page"/>
                </v:shape>
              </w:pict>
            </mc:Fallback>
          </mc:AlternateContent>
        </w:r>
        <w:r>
          <w:rPr>
            <w:noProof/>
            <w:lang w:val="en-IN" w:eastAsia="en-IN"/>
          </w:rPr>
          <mc:AlternateContent>
            <mc:Choice Requires="wpg">
              <w:drawing>
                <wp:anchor distT="0" distB="0" distL="0" distR="0" simplePos="0" relativeHeight="251657216" behindDoc="1" locked="0" layoutInCell="1" allowOverlap="1" wp14:anchorId="5AD6FD3B" wp14:editId="04BDA478">
                  <wp:simplePos x="0" y="0"/>
                  <wp:positionH relativeFrom="page">
                    <wp:posOffset>684206</wp:posOffset>
                  </wp:positionH>
                  <wp:positionV relativeFrom="page">
                    <wp:posOffset>10280015</wp:posOffset>
                  </wp:positionV>
                  <wp:extent cx="6407150" cy="132080"/>
                  <wp:effectExtent l="0" t="0" r="12700" b="2032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150" cy="132080"/>
                            <a:chOff x="0" y="0"/>
                            <a:chExt cx="6407150" cy="132080"/>
                          </a:xfrm>
                        </wpg:grpSpPr>
                        <wps:wsp>
                          <wps:cNvPr id="8" name="Graphic 2"/>
                          <wps:cNvSpPr/>
                          <wps:spPr>
                            <a:xfrm>
                              <a:off x="1581" y="307"/>
                              <a:ext cx="292735" cy="130175"/>
                            </a:xfrm>
                            <a:custGeom>
                              <a:avLst/>
                              <a:gdLst/>
                              <a:ahLst/>
                              <a:cxnLst/>
                              <a:rect l="l" t="t" r="r" b="b"/>
                              <a:pathLst>
                                <a:path w="292735" h="130175">
                                  <a:moveTo>
                                    <a:pt x="292506" y="0"/>
                                  </a:moveTo>
                                  <a:lnTo>
                                    <a:pt x="0" y="1625"/>
                                  </a:lnTo>
                                  <a:lnTo>
                                    <a:pt x="0" y="129146"/>
                                  </a:lnTo>
                                  <a:lnTo>
                                    <a:pt x="217614" y="129717"/>
                                  </a:lnTo>
                                  <a:lnTo>
                                    <a:pt x="292506" y="0"/>
                                  </a:lnTo>
                                  <a:close/>
                                </a:path>
                              </a:pathLst>
                            </a:custGeom>
                            <a:solidFill>
                              <a:srgbClr val="A8274A"/>
                            </a:solidFill>
                          </wps:spPr>
                          <wps:bodyPr wrap="square" lIns="0" tIns="0" rIns="0" bIns="0" rtlCol="0">
                            <a:prstTxWarp prst="textNoShape">
                              <a:avLst/>
                            </a:prstTxWarp>
                            <a:noAutofit/>
                          </wps:bodyPr>
                        </wps:wsp>
                        <wps:wsp>
                          <wps:cNvPr id="9" name="Graphic 3"/>
                          <wps:cNvSpPr/>
                          <wps:spPr>
                            <a:xfrm>
                              <a:off x="1587" y="1587"/>
                              <a:ext cx="6403975" cy="128905"/>
                            </a:xfrm>
                            <a:custGeom>
                              <a:avLst/>
                              <a:gdLst/>
                              <a:ahLst/>
                              <a:cxnLst/>
                              <a:rect l="l" t="t" r="r" b="b"/>
                              <a:pathLst>
                                <a:path w="6403975" h="128905">
                                  <a:moveTo>
                                    <a:pt x="6403644" y="128701"/>
                                  </a:moveTo>
                                  <a:lnTo>
                                    <a:pt x="231076" y="128701"/>
                                  </a:lnTo>
                                  <a:lnTo>
                                    <a:pt x="0" y="128701"/>
                                  </a:lnTo>
                                  <a:lnTo>
                                    <a:pt x="0" y="0"/>
                                  </a:lnTo>
                                  <a:lnTo>
                                    <a:pt x="272351" y="0"/>
                                  </a:lnTo>
                                  <a:lnTo>
                                    <a:pt x="6403644" y="0"/>
                                  </a:lnTo>
                                </a:path>
                              </a:pathLst>
                            </a:custGeom>
                            <a:ln w="3175">
                              <a:solidFill>
                                <a:srgbClr val="A8274A"/>
                              </a:solidFill>
                              <a:prstDash val="solid"/>
                            </a:ln>
                          </wps:spPr>
                          <wps:bodyPr wrap="square" lIns="0" tIns="0" rIns="0" bIns="0" rtlCol="0">
                            <a:prstTxWarp prst="textNoShape">
                              <a:avLst/>
                            </a:prstTxWarp>
                            <a:noAutofit/>
                          </wps:bodyPr>
                        </wps:wsp>
                        <wps:wsp>
                          <wps:cNvPr id="10" name="Graphic 4"/>
                          <wps:cNvSpPr/>
                          <wps:spPr>
                            <a:xfrm>
                              <a:off x="6112732" y="1502"/>
                              <a:ext cx="292735" cy="129539"/>
                            </a:xfrm>
                            <a:custGeom>
                              <a:avLst/>
                              <a:gdLst/>
                              <a:ahLst/>
                              <a:cxnLst/>
                              <a:rect l="l" t="t" r="r" b="b"/>
                              <a:pathLst>
                                <a:path w="292735" h="129539">
                                  <a:moveTo>
                                    <a:pt x="74891" y="0"/>
                                  </a:moveTo>
                                  <a:lnTo>
                                    <a:pt x="0" y="128993"/>
                                  </a:lnTo>
                                  <a:lnTo>
                                    <a:pt x="292506" y="127380"/>
                                  </a:lnTo>
                                  <a:lnTo>
                                    <a:pt x="292506" y="571"/>
                                  </a:lnTo>
                                  <a:lnTo>
                                    <a:pt x="74891" y="0"/>
                                  </a:lnTo>
                                  <a:close/>
                                </a:path>
                              </a:pathLst>
                            </a:custGeom>
                            <a:solidFill>
                              <a:srgbClr val="A8274A"/>
                            </a:solidFill>
                          </wps:spPr>
                          <wps:bodyPr wrap="square" lIns="0" tIns="0" rIns="0" bIns="0" rtlCol="0">
                            <a:prstTxWarp prst="textNoShape">
                              <a:avLst/>
                            </a:prstTxWarp>
                            <a:noAutofit/>
                          </wps:bodyPr>
                        </wps:wsp>
                      </wpg:wgp>
                    </a:graphicData>
                  </a:graphic>
                </wp:anchor>
              </w:drawing>
            </mc:Choice>
            <mc:Fallback>
              <w:pict>
                <v:group w14:anchorId="040229A0" id="Group 6" o:spid="_x0000_s1026" style="position:absolute;margin-left:53.85pt;margin-top:809.45pt;width:504.5pt;height:10.4pt;z-index:-251659264;mso-wrap-distance-left:0;mso-wrap-distance-right:0;mso-position-horizontal-relative:page;mso-position-vertical-relative:page" coordsize="64071,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">
                  <v:shape id="Graphic 2" o:spid="_x0000_s1027" style="position:absolute;left:15;top:3;width:2928;height:1301;visibility:visible;mso-wrap-style:square;v-text-anchor:top" coordsize="292735,1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" path="m292506,l,1625,,129146r217614,571l292506,xe" fillcolor="#a8274a" stroked="f">
                    <v:path arrowok="t"/>
                  </v:shape>
                  <v:shape id="Graphic 3" o:spid="_x0000_s1028" style="position:absolute;left:15;top:15;width:64040;height:1289;visibility:visible;mso-wrap-style:square;v-text-anchor:top" coordsize="6403975,12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" path="m6403644,128701r-6172568,l,128701,,,272351,,6403644,e" filled="f" strokecolor="#a8274a" strokeweight=".25pt">
                    <v:path arrowok="t"/>
                  </v:shape>
                  <v:shape id="Graphic 4" o:spid="_x0000_s1029" style="position:absolute;left:61127;top:15;width:2927;height:1295;visibility:visible;mso-wrap-style:square;v-text-anchor:top" coordsize="292735,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" path="m74891,l,128993r292506,-1613l292506,571,74891,xe" fillcolor="#a8274a" stroked="f">
                    <v:path arrowok="t"/>
                  </v:shape>
                  <w10:wrap anchorx="page" anchory="page"/>
                </v:group>
              </w:pict>
            </mc:Fallback>
          </mc:AlternateContent>
        </w:r>
      </w:p>
      <w:p w14:paraId="3671DB33" w14:textId="49E6167E" w:rsidR="00A35323" w:rsidRDefault="008D7153">
        <w:pPr>
          <w:pStyle w:val="Footer"/>
        </w:pPr>
        <w:r>
          <w:rPr>
            <w:noProof/>
            <w:lang w:val="en-IN" w:eastAsia="en-IN"/>
          </w:rPr>
          <mc:AlternateContent>
            <mc:Choice Requires="wps">
              <w:drawing>
                <wp:anchor distT="0" distB="0" distL="0" distR="0" simplePos="0" relativeHeight="251678720" behindDoc="1" locked="0" layoutInCell="1" allowOverlap="1" wp14:anchorId="20463BFC" wp14:editId="58818646">
                  <wp:simplePos x="0" y="0"/>
                  <wp:positionH relativeFrom="page">
                    <wp:posOffset>1839182</wp:posOffset>
                  </wp:positionH>
                  <wp:positionV relativeFrom="page">
                    <wp:posOffset>10280197</wp:posOffset>
                  </wp:positionV>
                  <wp:extent cx="4959491" cy="239078"/>
                  <wp:effectExtent l="0" t="0" r="0" b="0"/>
                  <wp:wrapNone/>
                  <wp:docPr id="826682473"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9491" cy="239078"/>
                          </a:xfrm>
                          <a:prstGeom prst="rect">
                            <a:avLst/>
                          </a:prstGeom>
                        </wps:spPr>
                        <wps:txbx>
                          <w:txbxContent>
                            <w:p w14:paraId="0729C847" w14:textId="5AA22A36" w:rsidR="00C936B2" w:rsidRDefault="00C936B2" w:rsidP="00C936B2">
                              <w:pPr>
                                <w:spacing w:before="13"/>
                                <w:ind w:left="20"/>
                                <w:jc w:val="right"/>
                                <w:rPr>
                                  <w:sz w:val="16"/>
                                </w:rPr>
                              </w:pPr>
                              <w:r>
                                <w:rPr>
                                  <w:color w:val="231F20"/>
                                  <w:sz w:val="16"/>
                                </w:rPr>
                                <w:t>©</w:t>
                              </w:r>
                              <w:r>
                                <w:rPr>
                                  <w:color w:val="231F20"/>
                                  <w:spacing w:val="-2"/>
                                  <w:sz w:val="16"/>
                                </w:rPr>
                                <w:t xml:space="preserve"> </w:t>
                              </w:r>
                              <w:r>
                                <w:rPr>
                                  <w:color w:val="231F20"/>
                                  <w:sz w:val="16"/>
                                </w:rPr>
                                <w:t>2025</w:t>
                              </w:r>
                              <w:r>
                                <w:rPr>
                                  <w:color w:val="231F20"/>
                                  <w:spacing w:val="-1"/>
                                  <w:sz w:val="16"/>
                                </w:rPr>
                                <w:t xml:space="preserve"> </w:t>
                              </w:r>
                              <w:r w:rsidRPr="00C936B2">
                                <w:rPr>
                                  <w:b/>
                                  <w:bCs/>
                                  <w:color w:val="231F20"/>
                                  <w:spacing w:val="-1"/>
                                  <w:sz w:val="16"/>
                                </w:rPr>
                                <w:t>Journal of International Commercial Law and Technology</w:t>
                              </w:r>
                              <w:r>
                                <w:rPr>
                                  <w:color w:val="231F20"/>
                                  <w:sz w:val="16"/>
                                </w:rPr>
                                <w:t xml:space="preserve">; Volume: </w:t>
                              </w:r>
                              <w:r w:rsidR="00C24A45">
                                <w:rPr>
                                  <w:color w:val="231F20"/>
                                  <w:sz w:val="16"/>
                                </w:rPr>
                                <w:t>6</w:t>
                              </w:r>
                              <w:r>
                                <w:rPr>
                                  <w:color w:val="231F20"/>
                                  <w:sz w:val="16"/>
                                </w:rPr>
                                <w:t>: Issue: 1|</w:t>
                              </w:r>
                              <w:r>
                                <w:rPr>
                                  <w:color w:val="231F20"/>
                                  <w:spacing w:val="-3"/>
                                  <w:sz w:val="16"/>
                                </w:rPr>
                                <w:t xml:space="preserve"> </w:t>
                              </w:r>
                              <w:r>
                                <w:rPr>
                                  <w:color w:val="231F20"/>
                                  <w:sz w:val="16"/>
                                </w:rPr>
                                <w:t>All Right Reserved</w:t>
                              </w:r>
                            </w:p>
                            <w:p w14:paraId="6B3A94AE" w14:textId="4E5AA99D" w:rsidR="008D7153" w:rsidRDefault="008D7153" w:rsidP="008D7153">
                              <w:pPr>
                                <w:spacing w:before="13"/>
                                <w:ind w:left="20"/>
                                <w:jc w:val="right"/>
                                <w:rPr>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0463BFC" id="Textbox 5" o:spid="_x0000_s1027" type="#_x0000_t202" style="position:absolute;margin-left:144.8pt;margin-top:809.45pt;width:390.5pt;height:18.8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" filled="f" stroked="f">
                  <v:textbox inset="0,0,0,0">
                    <w:txbxContent>
                      <w:p w14:paraId="0729C847" w14:textId="5AA22A36" w:rsidR="00C936B2" w:rsidRDefault="00C936B2" w:rsidP="00C936B2">
                        <w:pPr>
                          <w:spacing w:before="13"/>
                          <w:ind w:left="20"/>
                          <w:jc w:val="right"/>
                          <w:rPr>
                            <w:sz w:val="16"/>
                          </w:rPr>
                        </w:pPr>
                        <w:r>
                          <w:rPr>
                            <w:color w:val="231F20"/>
                            <w:sz w:val="16"/>
                          </w:rPr>
                          <w:t>©</w:t>
                        </w:r>
                        <w:r>
                          <w:rPr>
                            <w:color w:val="231F20"/>
                            <w:spacing w:val="-2"/>
                            <w:sz w:val="16"/>
                          </w:rPr>
                          <w:t xml:space="preserve"> </w:t>
                        </w:r>
                        <w:r>
                          <w:rPr>
                            <w:color w:val="231F20"/>
                            <w:sz w:val="16"/>
                          </w:rPr>
                          <w:t>2025</w:t>
                        </w:r>
                        <w:r>
                          <w:rPr>
                            <w:color w:val="231F20"/>
                            <w:spacing w:val="-1"/>
                            <w:sz w:val="16"/>
                          </w:rPr>
                          <w:t xml:space="preserve"> </w:t>
                        </w:r>
                        <w:r w:rsidRPr="00C936B2">
                          <w:rPr>
                            <w:b/>
                            <w:bCs/>
                            <w:color w:val="231F20"/>
                            <w:spacing w:val="-1"/>
                            <w:sz w:val="16"/>
                          </w:rPr>
                          <w:t>Journal of International Commercial Law and Technology</w:t>
                        </w:r>
                        <w:r>
                          <w:rPr>
                            <w:color w:val="231F20"/>
                            <w:sz w:val="16"/>
                          </w:rPr>
                          <w:t xml:space="preserve">; Volume: </w:t>
                        </w:r>
                        <w:r w:rsidR="00C24A45">
                          <w:rPr>
                            <w:color w:val="231F20"/>
                            <w:sz w:val="16"/>
                          </w:rPr>
                          <w:t>6</w:t>
                        </w:r>
                        <w:r>
                          <w:rPr>
                            <w:color w:val="231F20"/>
                            <w:sz w:val="16"/>
                          </w:rPr>
                          <w:t>: Issue: 1|</w:t>
                        </w:r>
                        <w:r>
                          <w:rPr>
                            <w:color w:val="231F20"/>
                            <w:spacing w:val="-3"/>
                            <w:sz w:val="16"/>
                          </w:rPr>
                          <w:t xml:space="preserve"> </w:t>
                        </w:r>
                        <w:r>
                          <w:rPr>
                            <w:color w:val="231F20"/>
                            <w:sz w:val="16"/>
                          </w:rPr>
                          <w:t>All Right Reserved</w:t>
                        </w:r>
                      </w:p>
                      <w:p w14:paraId="6B3A94AE" w14:textId="4E5AA99D" w:rsidR="008D7153" w:rsidRDefault="008D7153" w:rsidP="008D7153">
                        <w:pPr>
                          <w:spacing w:before="13"/>
                          <w:ind w:left="20"/>
                          <w:jc w:val="right"/>
                          <w:rPr>
                            <w:sz w:val="16"/>
                          </w:rPr>
                        </w:pPr>
                      </w:p>
                    </w:txbxContent>
                  </v:textbox>
                  <w10:wrap anchorx="page" anchory="page"/>
                </v:shape>
              </w:pict>
            </mc:Fallback>
          </mc:AlternateContent>
        </w:r>
      </w:p>
    </w:sdtContent>
  </w:sdt>
  <w:bookmarkEnd w:id="2" w:displacedByCustomXml="prev"/>
  <w:bookmarkEnd w:id="3" w:displacedByCustomXml="prev"/>
  <w:bookmarkEnd w:id="4" w:displacedByCustomXml="prev"/>
  <w:bookmarkEnd w:id="5" w:displacedByCustomXml="prev"/>
  <w:bookmarkEnd w:id="6" w:displacedByCustomXml="prev"/>
  <w:bookmarkEnd w:id="7" w:displacedByCustomXml="prev"/>
  <w:bookmarkEnd w:id="8" w:displacedByCustomXml="prev"/>
  <w:bookmarkEnd w:id="9" w:displacedByCustomXml="prev"/>
  <w:bookmarkEnd w:id="10" w:displacedByCustomXml="prev"/>
  <w:bookmarkEnd w:id="11" w:displacedByCustomXml="prev"/>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3A1B2" w14:textId="65657827" w:rsidR="00141C49" w:rsidRDefault="00C936B2" w:rsidP="008D7153">
    <w:pPr>
      <w:pStyle w:val="Footer"/>
      <w:tabs>
        <w:tab w:val="clear" w:pos="4513"/>
        <w:tab w:val="clear" w:pos="9026"/>
        <w:tab w:val="left" w:pos="6400"/>
      </w:tabs>
    </w:pPr>
    <w:r>
      <w:rPr>
        <w:noProof/>
        <w:lang w:val="en-IN" w:eastAsia="en-IN"/>
      </w:rPr>
      <mc:AlternateContent>
        <mc:Choice Requires="wpg">
          <w:drawing>
            <wp:anchor distT="0" distB="0" distL="0" distR="0" simplePos="0" relativeHeight="251669504" behindDoc="1" locked="0" layoutInCell="1" allowOverlap="1" wp14:anchorId="53D42DEE" wp14:editId="72F57A1D">
              <wp:simplePos x="0" y="0"/>
              <wp:positionH relativeFrom="page">
                <wp:posOffset>688657</wp:posOffset>
              </wp:positionH>
              <wp:positionV relativeFrom="page">
                <wp:posOffset>10010775</wp:posOffset>
              </wp:positionV>
              <wp:extent cx="6407150" cy="132080"/>
              <wp:effectExtent l="0" t="0" r="12700" b="20320"/>
              <wp:wrapNone/>
              <wp:docPr id="1381120193" name="Group 1381120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150" cy="132080"/>
                        <a:chOff x="0" y="0"/>
                        <a:chExt cx="6407150" cy="132080"/>
                      </a:xfrm>
                    </wpg:grpSpPr>
                    <wps:wsp>
                      <wps:cNvPr id="986365538" name="Graphic 2"/>
                      <wps:cNvSpPr/>
                      <wps:spPr>
                        <a:xfrm>
                          <a:off x="1581" y="307"/>
                          <a:ext cx="292735" cy="130175"/>
                        </a:xfrm>
                        <a:custGeom>
                          <a:avLst/>
                          <a:gdLst/>
                          <a:ahLst/>
                          <a:cxnLst/>
                          <a:rect l="l" t="t" r="r" b="b"/>
                          <a:pathLst>
                            <a:path w="292735" h="130175">
                              <a:moveTo>
                                <a:pt x="292506" y="0"/>
                              </a:moveTo>
                              <a:lnTo>
                                <a:pt x="0" y="1625"/>
                              </a:lnTo>
                              <a:lnTo>
                                <a:pt x="0" y="129146"/>
                              </a:lnTo>
                              <a:lnTo>
                                <a:pt x="217614" y="129717"/>
                              </a:lnTo>
                              <a:lnTo>
                                <a:pt x="292506" y="0"/>
                              </a:lnTo>
                              <a:close/>
                            </a:path>
                          </a:pathLst>
                        </a:custGeom>
                        <a:solidFill>
                          <a:srgbClr val="A8274A"/>
                        </a:solidFill>
                      </wps:spPr>
                      <wps:bodyPr wrap="square" lIns="0" tIns="0" rIns="0" bIns="0" rtlCol="0">
                        <a:prstTxWarp prst="textNoShape">
                          <a:avLst/>
                        </a:prstTxWarp>
                        <a:noAutofit/>
                      </wps:bodyPr>
                    </wps:wsp>
                    <wps:wsp>
                      <wps:cNvPr id="2094345110" name="Graphic 3"/>
                      <wps:cNvSpPr/>
                      <wps:spPr>
                        <a:xfrm>
                          <a:off x="1587" y="1587"/>
                          <a:ext cx="6403975" cy="128905"/>
                        </a:xfrm>
                        <a:custGeom>
                          <a:avLst/>
                          <a:gdLst/>
                          <a:ahLst/>
                          <a:cxnLst/>
                          <a:rect l="l" t="t" r="r" b="b"/>
                          <a:pathLst>
                            <a:path w="6403975" h="128905">
                              <a:moveTo>
                                <a:pt x="6403644" y="128701"/>
                              </a:moveTo>
                              <a:lnTo>
                                <a:pt x="231076" y="128701"/>
                              </a:lnTo>
                              <a:lnTo>
                                <a:pt x="0" y="128701"/>
                              </a:lnTo>
                              <a:lnTo>
                                <a:pt x="0" y="0"/>
                              </a:lnTo>
                              <a:lnTo>
                                <a:pt x="272351" y="0"/>
                              </a:lnTo>
                              <a:lnTo>
                                <a:pt x="6403644" y="0"/>
                              </a:lnTo>
                            </a:path>
                          </a:pathLst>
                        </a:custGeom>
                        <a:ln w="3175">
                          <a:solidFill>
                            <a:srgbClr val="A8274A"/>
                          </a:solidFill>
                          <a:prstDash val="solid"/>
                        </a:ln>
                      </wps:spPr>
                      <wps:bodyPr wrap="square" lIns="0" tIns="0" rIns="0" bIns="0" rtlCol="0">
                        <a:prstTxWarp prst="textNoShape">
                          <a:avLst/>
                        </a:prstTxWarp>
                        <a:noAutofit/>
                      </wps:bodyPr>
                    </wps:wsp>
                    <wps:wsp>
                      <wps:cNvPr id="1485695736" name="Graphic 4"/>
                      <wps:cNvSpPr/>
                      <wps:spPr>
                        <a:xfrm>
                          <a:off x="6112732" y="1502"/>
                          <a:ext cx="292735" cy="129539"/>
                        </a:xfrm>
                        <a:custGeom>
                          <a:avLst/>
                          <a:gdLst/>
                          <a:ahLst/>
                          <a:cxnLst/>
                          <a:rect l="l" t="t" r="r" b="b"/>
                          <a:pathLst>
                            <a:path w="292735" h="129539">
                              <a:moveTo>
                                <a:pt x="74891" y="0"/>
                              </a:moveTo>
                              <a:lnTo>
                                <a:pt x="0" y="128993"/>
                              </a:lnTo>
                              <a:lnTo>
                                <a:pt x="292506" y="127380"/>
                              </a:lnTo>
                              <a:lnTo>
                                <a:pt x="292506" y="571"/>
                              </a:lnTo>
                              <a:lnTo>
                                <a:pt x="74891" y="0"/>
                              </a:lnTo>
                              <a:close/>
                            </a:path>
                          </a:pathLst>
                        </a:custGeom>
                        <a:solidFill>
                          <a:srgbClr val="A8274A"/>
                        </a:solidFill>
                      </wps:spPr>
                      <wps:bodyPr wrap="square" lIns="0" tIns="0" rIns="0" bIns="0" rtlCol="0">
                        <a:prstTxWarp prst="textNoShape">
                          <a:avLst/>
                        </a:prstTxWarp>
                        <a:noAutofit/>
                      </wps:bodyPr>
                    </wps:wsp>
                  </wpg:wgp>
                </a:graphicData>
              </a:graphic>
            </wp:anchor>
          </w:drawing>
        </mc:Choice>
        <mc:Fallback>
          <w:pict>
            <v:group w14:anchorId="6059942B" id="Group 1381120193" o:spid="_x0000_s1026" style="position:absolute;margin-left:54.2pt;margin-top:788.25pt;width:504.5pt;height:10.4pt;z-index:-251646976;mso-wrap-distance-left:0;mso-wrap-distance-right:0;mso-position-horizontal-relative:page;mso-position-vertical-relative:page" coordsize="64071,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">
              <v:shape id="Graphic 2" o:spid="_x0000_s1027" style="position:absolute;left:15;top:3;width:2928;height:1301;visibility:visible;mso-wrap-style:square;v-text-anchor:top" coordsize="292735,1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" path="m292506,l,1625,,129146r217614,571l292506,xe" fillcolor="#a8274a" stroked="f">
                <v:path arrowok="t"/>
              </v:shape>
              <v:shape id="Graphic 3" o:spid="_x0000_s1028" style="position:absolute;left:15;top:15;width:64040;height:1289;visibility:visible;mso-wrap-style:square;v-text-anchor:top" coordsize="6403975,12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" path="m6403644,128701r-6172568,l,128701,,,272351,,6403644,e" filled="f" strokecolor="#a8274a" strokeweight=".25pt">
                <v:path arrowok="t"/>
              </v:shape>
              <v:shape id="Graphic 4" o:spid="_x0000_s1029" style="position:absolute;left:61127;top:15;width:2927;height:1295;visibility:visible;mso-wrap-style:square;v-text-anchor:top" coordsize="292735,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" path="m74891,l,128993r292506,-1613l292506,571,74891,xe" fillcolor="#a8274a" stroked="f">
                <v:path arrowok="t"/>
              </v:shape>
              <w10:wrap anchorx="page" anchory="page"/>
            </v:group>
          </w:pict>
        </mc:Fallback>
      </mc:AlternateContent>
    </w:r>
    <w:r w:rsidR="008D7153">
      <w:rPr>
        <w:noProof/>
        <w:lang w:val="en-IN" w:eastAsia="en-IN"/>
      </w:rPr>
      <mc:AlternateContent>
        <mc:Choice Requires="wps">
          <w:drawing>
            <wp:anchor distT="0" distB="0" distL="0" distR="0" simplePos="0" relativeHeight="251671552" behindDoc="1" locked="0" layoutInCell="1" allowOverlap="1" wp14:anchorId="5E0A93C4" wp14:editId="062BA610">
              <wp:simplePos x="0" y="0"/>
              <wp:positionH relativeFrom="page">
                <wp:posOffset>1806222</wp:posOffset>
              </wp:positionH>
              <wp:positionV relativeFrom="page">
                <wp:posOffset>10014831</wp:posOffset>
              </wp:positionV>
              <wp:extent cx="4959491" cy="239078"/>
              <wp:effectExtent l="0" t="0" r="0" b="0"/>
              <wp:wrapNone/>
              <wp:docPr id="297855276"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9491" cy="239078"/>
                      </a:xfrm>
                      <a:prstGeom prst="rect">
                        <a:avLst/>
                      </a:prstGeom>
                    </wps:spPr>
                    <wps:txbx>
                      <w:txbxContent>
                        <w:p w14:paraId="5B7D9D5A" w14:textId="1E58DCF3" w:rsidR="00141C49" w:rsidRDefault="00141C49" w:rsidP="00141C49">
                          <w:pPr>
                            <w:spacing w:before="13"/>
                            <w:ind w:left="20"/>
                            <w:jc w:val="right"/>
                            <w:rPr>
                              <w:sz w:val="16"/>
                            </w:rPr>
                          </w:pPr>
                          <w:r>
                            <w:rPr>
                              <w:color w:val="231F20"/>
                              <w:sz w:val="16"/>
                            </w:rPr>
                            <w:t>©</w:t>
                          </w:r>
                          <w:r>
                            <w:rPr>
                              <w:color w:val="231F20"/>
                              <w:spacing w:val="-2"/>
                              <w:sz w:val="16"/>
                            </w:rPr>
                            <w:t xml:space="preserve"> </w:t>
                          </w:r>
                          <w:r>
                            <w:rPr>
                              <w:color w:val="231F20"/>
                              <w:sz w:val="16"/>
                            </w:rPr>
                            <w:t>202</w:t>
                          </w:r>
                          <w:r w:rsidR="00C936B2">
                            <w:rPr>
                              <w:color w:val="231F20"/>
                              <w:sz w:val="16"/>
                            </w:rPr>
                            <w:t>5</w:t>
                          </w:r>
                          <w:r>
                            <w:rPr>
                              <w:color w:val="231F20"/>
                              <w:spacing w:val="-1"/>
                              <w:sz w:val="16"/>
                            </w:rPr>
                            <w:t xml:space="preserve"> </w:t>
                          </w:r>
                          <w:r w:rsidR="00C936B2" w:rsidRPr="00C936B2">
                            <w:rPr>
                              <w:b/>
                              <w:bCs/>
                              <w:color w:val="231F20"/>
                              <w:spacing w:val="-1"/>
                              <w:sz w:val="16"/>
                            </w:rPr>
                            <w:t>Journal of International Commercial Law and Technology</w:t>
                          </w:r>
                          <w:r w:rsidR="008D7153">
                            <w:rPr>
                              <w:color w:val="231F20"/>
                              <w:sz w:val="16"/>
                            </w:rPr>
                            <w:t xml:space="preserve">; Volume: </w:t>
                          </w:r>
                          <w:r w:rsidR="00C24A45">
                            <w:rPr>
                              <w:color w:val="231F20"/>
                              <w:sz w:val="16"/>
                            </w:rPr>
                            <w:t>6</w:t>
                          </w:r>
                          <w:r w:rsidR="008D7153">
                            <w:rPr>
                              <w:color w:val="231F20"/>
                              <w:sz w:val="16"/>
                            </w:rPr>
                            <w:t xml:space="preserve">: Issue: </w:t>
                          </w:r>
                          <w:r w:rsidR="00C936B2">
                            <w:rPr>
                              <w:color w:val="231F20"/>
                              <w:sz w:val="16"/>
                            </w:rPr>
                            <w:t>1</w:t>
                          </w:r>
                          <w:r>
                            <w:rPr>
                              <w:color w:val="231F20"/>
                              <w:sz w:val="16"/>
                            </w:rPr>
                            <w:t>|</w:t>
                          </w:r>
                          <w:r>
                            <w:rPr>
                              <w:color w:val="231F20"/>
                              <w:spacing w:val="-3"/>
                              <w:sz w:val="16"/>
                            </w:rPr>
                            <w:t xml:space="preserve"> </w:t>
                          </w:r>
                          <w:r>
                            <w:rPr>
                              <w:color w:val="231F20"/>
                              <w:sz w:val="16"/>
                            </w:rPr>
                            <w:t>All Right Reserved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E0A93C4" id="_x0000_t202" coordsize="21600,21600" o:spt="202" path="m,l,21600r21600,l21600,xe">
              <v:stroke joinstyle="miter"/>
              <v:path gradientshapeok="t" o:connecttype="rect"/>
            </v:shapetype>
            <v:shape id="_x0000_s1028" type="#_x0000_t202" style="position:absolute;margin-left:142.2pt;margin-top:788.55pt;width:390.5pt;height:18.8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" filled="f" stroked="f">
              <v:textbox inset="0,0,0,0">
                <w:txbxContent>
                  <w:p w14:paraId="5B7D9D5A" w14:textId="1E58DCF3" w:rsidR="00141C49" w:rsidRDefault="00141C49" w:rsidP="00141C49">
                    <w:pPr>
                      <w:spacing w:before="13"/>
                      <w:ind w:left="20"/>
                      <w:jc w:val="right"/>
                      <w:rPr>
                        <w:sz w:val="16"/>
                      </w:rPr>
                    </w:pPr>
                    <w:r>
                      <w:rPr>
                        <w:color w:val="231F20"/>
                        <w:sz w:val="16"/>
                      </w:rPr>
                      <w:t>©</w:t>
                    </w:r>
                    <w:r>
                      <w:rPr>
                        <w:color w:val="231F20"/>
                        <w:spacing w:val="-2"/>
                        <w:sz w:val="16"/>
                      </w:rPr>
                      <w:t xml:space="preserve"> </w:t>
                    </w:r>
                    <w:r>
                      <w:rPr>
                        <w:color w:val="231F20"/>
                        <w:sz w:val="16"/>
                      </w:rPr>
                      <w:t>202</w:t>
                    </w:r>
                    <w:r w:rsidR="00C936B2">
                      <w:rPr>
                        <w:color w:val="231F20"/>
                        <w:sz w:val="16"/>
                      </w:rPr>
                      <w:t>5</w:t>
                    </w:r>
                    <w:r>
                      <w:rPr>
                        <w:color w:val="231F20"/>
                        <w:spacing w:val="-1"/>
                        <w:sz w:val="16"/>
                      </w:rPr>
                      <w:t xml:space="preserve"> </w:t>
                    </w:r>
                    <w:r w:rsidR="00C936B2" w:rsidRPr="00C936B2">
                      <w:rPr>
                        <w:b/>
                        <w:bCs/>
                        <w:color w:val="231F20"/>
                        <w:spacing w:val="-1"/>
                        <w:sz w:val="16"/>
                      </w:rPr>
                      <w:t>Journal of International Commercial Law and Technology</w:t>
                    </w:r>
                    <w:r w:rsidR="008D7153">
                      <w:rPr>
                        <w:color w:val="231F20"/>
                        <w:sz w:val="16"/>
                      </w:rPr>
                      <w:t xml:space="preserve">; Volume: </w:t>
                    </w:r>
                    <w:r w:rsidR="00C24A45">
                      <w:rPr>
                        <w:color w:val="231F20"/>
                        <w:sz w:val="16"/>
                      </w:rPr>
                      <w:t>6</w:t>
                    </w:r>
                    <w:r w:rsidR="008D7153">
                      <w:rPr>
                        <w:color w:val="231F20"/>
                        <w:sz w:val="16"/>
                      </w:rPr>
                      <w:t xml:space="preserve">: Issue: </w:t>
                    </w:r>
                    <w:r w:rsidR="00C936B2">
                      <w:rPr>
                        <w:color w:val="231F20"/>
                        <w:sz w:val="16"/>
                      </w:rPr>
                      <w:t>1</w:t>
                    </w:r>
                    <w:r>
                      <w:rPr>
                        <w:color w:val="231F20"/>
                        <w:sz w:val="16"/>
                      </w:rPr>
                      <w:t>|</w:t>
                    </w:r>
                    <w:r>
                      <w:rPr>
                        <w:color w:val="231F20"/>
                        <w:spacing w:val="-3"/>
                        <w:sz w:val="16"/>
                      </w:rPr>
                      <w:t xml:space="preserve"> </w:t>
                    </w:r>
                    <w:r>
                      <w:rPr>
                        <w:color w:val="231F20"/>
                        <w:sz w:val="16"/>
                      </w:rPr>
                      <w:t>All Right Reserved</w:t>
                    </w:r>
                  </w:p>
                </w:txbxContent>
              </v:textbox>
              <w10:wrap anchorx="page" anchory="page"/>
            </v:shape>
          </w:pict>
        </mc:Fallback>
      </mc:AlternateContent>
    </w:r>
    <w:r w:rsidR="004F1589">
      <w:fldChar w:fldCharType="begin"/>
    </w:r>
    <w:r w:rsidR="004F1589">
      <w:instrText xml:space="preserve"> INCLUDEPICTURE "https://icr-heart.com/media/Screenshot_2024-01-08_at_12.47.41PM.png" \* MERGEFORMATINET </w:instrText>
    </w:r>
    <w:r w:rsidR="004F1589">
      <w:fldChar w:fldCharType="separate"/>
    </w:r>
    <w:r w:rsidR="004F1589">
      <w:fldChar w:fldCharType="end"/>
    </w:r>
    <w:r w:rsidR="00072D4C">
      <w:rPr>
        <w:noProof/>
        <w:lang w:val="en-IN" w:eastAsia="en-IN"/>
      </w:rPr>
      <mc:AlternateContent>
        <mc:Choice Requires="wps">
          <w:drawing>
            <wp:anchor distT="0" distB="0" distL="0" distR="0" simplePos="0" relativeHeight="251673600" behindDoc="1" locked="0" layoutInCell="1" allowOverlap="1" wp14:anchorId="584F91C0" wp14:editId="2F47B0ED">
              <wp:simplePos x="0" y="0"/>
              <wp:positionH relativeFrom="page">
                <wp:posOffset>685800</wp:posOffset>
              </wp:positionH>
              <wp:positionV relativeFrom="page">
                <wp:posOffset>10010775</wp:posOffset>
              </wp:positionV>
              <wp:extent cx="372745" cy="127345"/>
              <wp:effectExtent l="0" t="0" r="0" b="0"/>
              <wp:wrapNone/>
              <wp:docPr id="1186401684"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745" cy="127345"/>
                      </a:xfrm>
                      <a:prstGeom prst="rect">
                        <a:avLst/>
                      </a:prstGeom>
                    </wps:spPr>
                    <wps:txbx>
                      <w:txbxContent>
                        <w:p w14:paraId="55BE84BA" w14:textId="77777777" w:rsidR="00072D4C" w:rsidRPr="00460799" w:rsidRDefault="00072D4C" w:rsidP="00072D4C">
                          <w:pPr>
                            <w:spacing w:before="13"/>
                            <w:ind w:left="20"/>
                            <w:rPr>
                              <w:b/>
                              <w:color w:val="FFFFFF" w:themeColor="background1"/>
                              <w:sz w:val="16"/>
                            </w:rPr>
                          </w:pPr>
                          <w:r w:rsidRPr="00460799">
                            <w:rPr>
                              <w:b/>
                              <w:color w:val="FFFFFF" w:themeColor="background1"/>
                              <w:sz w:val="16"/>
                            </w:rPr>
                            <w:fldChar w:fldCharType="begin"/>
                          </w:r>
                          <w:r w:rsidRPr="00460799">
                            <w:rPr>
                              <w:b/>
                              <w:color w:val="FFFFFF" w:themeColor="background1"/>
                              <w:sz w:val="16"/>
                            </w:rPr>
                            <w:instrText xml:space="preserve"> PAGE   \* MERGEFORMAT </w:instrText>
                          </w:r>
                          <w:r w:rsidRPr="00460799">
                            <w:rPr>
                              <w:b/>
                              <w:color w:val="FFFFFF" w:themeColor="background1"/>
                              <w:sz w:val="16"/>
                            </w:rPr>
                            <w:fldChar w:fldCharType="separate"/>
                          </w:r>
                          <w:r>
                            <w:rPr>
                              <w:b/>
                              <w:noProof/>
                              <w:color w:val="FFFFFF" w:themeColor="background1"/>
                              <w:sz w:val="16"/>
                            </w:rPr>
                            <w:t>1</w:t>
                          </w:r>
                          <w:r w:rsidRPr="00460799">
                            <w:rPr>
                              <w:b/>
                              <w:color w:val="FFFFFF" w:themeColor="background1"/>
                              <w:sz w:val="16"/>
                            </w:rPr>
                            <w:fldChar w:fldCharType="end"/>
                          </w:r>
                        </w:p>
                        <w:p w14:paraId="08F6C923" w14:textId="77777777" w:rsidR="00072D4C" w:rsidRPr="00460799" w:rsidRDefault="00072D4C" w:rsidP="00072D4C">
                          <w:pPr>
                            <w:spacing w:before="13"/>
                            <w:ind w:left="20"/>
                            <w:rPr>
                              <w:b/>
                              <w:color w:val="FFFFFF" w:themeColor="background1"/>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84F91C0" id="_x0000_s1029" type="#_x0000_t202" style="position:absolute;margin-left:54pt;margin-top:788.25pt;width:29.35pt;height:10.0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" filled="f" stroked="f">
              <v:textbox inset="0,0,0,0">
                <w:txbxContent>
                  <w:p w14:paraId="55BE84BA" w14:textId="77777777" w:rsidR="00072D4C" w:rsidRPr="00460799" w:rsidRDefault="00072D4C" w:rsidP="00072D4C">
                    <w:pPr>
                      <w:spacing w:before="13"/>
                      <w:ind w:left="20"/>
                      <w:rPr>
                        <w:b/>
                        <w:color w:val="FFFFFF" w:themeColor="background1"/>
                        <w:sz w:val="16"/>
                      </w:rPr>
                    </w:pPr>
                    <w:r w:rsidRPr="00460799">
                      <w:rPr>
                        <w:b/>
                        <w:color w:val="FFFFFF" w:themeColor="background1"/>
                        <w:sz w:val="16"/>
                      </w:rPr>
                      <w:fldChar w:fldCharType="begin"/>
                    </w:r>
                    <w:r w:rsidRPr="00460799">
                      <w:rPr>
                        <w:b/>
                        <w:color w:val="FFFFFF" w:themeColor="background1"/>
                        <w:sz w:val="16"/>
                      </w:rPr>
                      <w:instrText xml:space="preserve"> PAGE   \* MERGEFORMAT </w:instrText>
                    </w:r>
                    <w:r w:rsidRPr="00460799">
                      <w:rPr>
                        <w:b/>
                        <w:color w:val="FFFFFF" w:themeColor="background1"/>
                        <w:sz w:val="16"/>
                      </w:rPr>
                      <w:fldChar w:fldCharType="separate"/>
                    </w:r>
                    <w:r>
                      <w:rPr>
                        <w:b/>
                        <w:noProof/>
                        <w:color w:val="FFFFFF" w:themeColor="background1"/>
                        <w:sz w:val="16"/>
                      </w:rPr>
                      <w:t>1</w:t>
                    </w:r>
                    <w:r w:rsidRPr="00460799">
                      <w:rPr>
                        <w:b/>
                        <w:color w:val="FFFFFF" w:themeColor="background1"/>
                        <w:sz w:val="16"/>
                      </w:rPr>
                      <w:fldChar w:fldCharType="end"/>
                    </w:r>
                  </w:p>
                  <w:p w14:paraId="08F6C923" w14:textId="77777777" w:rsidR="00072D4C" w:rsidRPr="00460799" w:rsidRDefault="00072D4C" w:rsidP="00072D4C">
                    <w:pPr>
                      <w:spacing w:before="13"/>
                      <w:ind w:left="20"/>
                      <w:rPr>
                        <w:b/>
                        <w:color w:val="FFFFFF" w:themeColor="background1"/>
                        <w:sz w:val="16"/>
                      </w:rPr>
                    </w:pPr>
                  </w:p>
                </w:txbxContent>
              </v:textbox>
              <w10:wrap anchorx="page" anchory="page"/>
            </v:shape>
          </w:pict>
        </mc:Fallback>
      </mc:AlternateContent>
    </w:r>
    <w:r w:rsidR="008D715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B8640" w14:textId="77777777" w:rsidR="00D61627" w:rsidRDefault="00D61627">
      <w:r>
        <w:separator/>
      </w:r>
    </w:p>
  </w:footnote>
  <w:footnote w:type="continuationSeparator" w:id="0">
    <w:p w14:paraId="3F7AE7AE" w14:textId="77777777" w:rsidR="00D61627" w:rsidRDefault="00D61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1FDDA" w14:textId="20207476" w:rsidR="00141C49" w:rsidRDefault="00141C49" w:rsidP="004328BA">
    <w:pPr>
      <w:pStyle w:val="Header"/>
      <w:pBdr>
        <w:bottom w:val="single" w:sz="4" w:space="1" w:color="auto"/>
      </w:pBdr>
      <w:jc w:val="both"/>
    </w:pPr>
    <w:r>
      <w:t xml:space="preserve">How to Cite: </w:t>
    </w:r>
    <w:r w:rsidR="006D4FF2" w:rsidRPr="00A61BEB">
      <w:rPr>
        <w:rFonts w:ascii="Cambria" w:eastAsia="Palatino Linotype" w:hAnsi="Cambria" w:cs="Palatino Linotype"/>
        <w:color w:val="4A442A" w:themeColor="background2" w:themeShade="40"/>
        <w:sz w:val="20"/>
        <w:szCs w:val="20"/>
      </w:rPr>
      <w:t>Ashutosh Verma</w:t>
    </w:r>
    <w:r w:rsidR="006D4FF2" w:rsidRPr="004328BA">
      <w:rPr>
        <w:rFonts w:ascii="Cambria" w:eastAsia="Palatino Linotype" w:hAnsi="Cambria" w:cs="Palatino Linotype"/>
        <w:color w:val="4A442A" w:themeColor="background2" w:themeShade="40"/>
        <w:sz w:val="20"/>
        <w:szCs w:val="20"/>
      </w:rPr>
      <w:t xml:space="preserve">, et al. </w:t>
    </w:r>
    <w:r w:rsidR="006D4FF2" w:rsidRPr="00A61BEB">
      <w:rPr>
        <w:rFonts w:ascii="Cambria" w:eastAsia="Palatino Linotype" w:hAnsi="Cambria" w:cs="Palatino Linotype"/>
        <w:color w:val="4A442A" w:themeColor="background2" w:themeShade="40"/>
        <w:sz w:val="20"/>
        <w:szCs w:val="20"/>
      </w:rPr>
      <w:t>A Study on Consequences of Geopolitical Disturbances as an Impact on Indian International Trade</w:t>
    </w:r>
    <w:r w:rsidR="006D4FF2" w:rsidRPr="004328BA">
      <w:rPr>
        <w:rFonts w:ascii="Cambria" w:eastAsia="Palatino Linotype" w:hAnsi="Cambria" w:cs="Palatino Linotype"/>
        <w:color w:val="4A442A" w:themeColor="background2" w:themeShade="40"/>
        <w:sz w:val="20"/>
        <w:szCs w:val="20"/>
      </w:rPr>
      <w:t>. 2025;6(1):</w:t>
    </w:r>
    <w:r w:rsidR="00333D62">
      <w:rPr>
        <w:rFonts w:ascii="Cambria" w:eastAsia="Palatino Linotype" w:hAnsi="Cambria" w:cs="Palatino Linotype"/>
        <w:color w:val="4A442A" w:themeColor="background2" w:themeShade="40"/>
        <w:sz w:val="20"/>
        <w:szCs w:val="20"/>
      </w:rPr>
      <w:t>652</w:t>
    </w:r>
    <w:r w:rsidR="006D4FF2" w:rsidRPr="004328BA">
      <w:rPr>
        <w:rFonts w:ascii="Cambria" w:eastAsia="Palatino Linotype" w:hAnsi="Cambria" w:cs="Palatino Linotype"/>
        <w:color w:val="4A442A" w:themeColor="background2" w:themeShade="40"/>
        <w:sz w:val="20"/>
        <w:szCs w:val="20"/>
      </w:rPr>
      <w:t>-</w:t>
    </w:r>
    <w:r w:rsidR="00333D62">
      <w:rPr>
        <w:rFonts w:ascii="Cambria" w:eastAsia="Palatino Linotype" w:hAnsi="Cambria" w:cs="Palatino Linotype"/>
        <w:color w:val="4A442A" w:themeColor="background2" w:themeShade="40"/>
        <w:sz w:val="20"/>
        <w:szCs w:val="20"/>
      </w:rPr>
      <w:t>660</w:t>
    </w:r>
    <w:r w:rsidR="006D4FF2" w:rsidRPr="004328BA">
      <w:rPr>
        <w:rFonts w:ascii="Cambria" w:eastAsia="Palatino Linotype" w:hAnsi="Cambria" w:cs="Palatino Linotype"/>
        <w:color w:val="4A442A" w:themeColor="background2" w:themeShade="40"/>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9F1C1" w14:textId="21876565" w:rsidR="00141C49" w:rsidRPr="00E6571A" w:rsidRDefault="00454BE2" w:rsidP="00141C49">
    <w:pPr>
      <w:pStyle w:val="BodyText"/>
      <w:pBdr>
        <w:bottom w:val="single" w:sz="4" w:space="14" w:color="auto"/>
      </w:pBdr>
      <w:tabs>
        <w:tab w:val="left" w:pos="472"/>
        <w:tab w:val="left" w:pos="8684"/>
      </w:tabs>
      <w:rPr>
        <w:b/>
        <w:bCs/>
        <w:sz w:val="40"/>
        <w:szCs w:val="40"/>
      </w:rPr>
    </w:pPr>
    <w:bookmarkStart w:id="12" w:name="_Hlk172410301"/>
    <w:bookmarkStart w:id="13" w:name="_Hlk172410302"/>
    <w:bookmarkStart w:id="14" w:name="_Hlk172412336"/>
    <w:bookmarkStart w:id="15" w:name="_Hlk172412337"/>
    <w:bookmarkStart w:id="16" w:name="_Hlk172414377"/>
    <w:bookmarkStart w:id="17" w:name="_Hlk172414378"/>
    <w:bookmarkStart w:id="18" w:name="_Hlk172415308"/>
    <w:bookmarkStart w:id="19" w:name="_Hlk172415309"/>
    <w:bookmarkStart w:id="20" w:name="_Hlk172417187"/>
    <w:bookmarkStart w:id="21" w:name="_Hlk172417188"/>
    <w:r>
      <w:rPr>
        <w:b/>
        <w:bCs/>
        <w:noProof/>
      </w:rPr>
      <w:drawing>
        <wp:anchor distT="0" distB="0" distL="114300" distR="114300" simplePos="0" relativeHeight="251680768" behindDoc="1" locked="0" layoutInCell="1" allowOverlap="1" wp14:anchorId="22BE369F" wp14:editId="6868A783">
          <wp:simplePos x="0" y="0"/>
          <wp:positionH relativeFrom="column">
            <wp:posOffset>5257800</wp:posOffset>
          </wp:positionH>
          <wp:positionV relativeFrom="paragraph">
            <wp:posOffset>-173672</wp:posOffset>
          </wp:positionV>
          <wp:extent cx="1000314" cy="1042988"/>
          <wp:effectExtent l="0" t="0" r="3175" b="0"/>
          <wp:wrapNone/>
          <wp:docPr id="7477779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777991" name="Picture 747777991"/>
                  <pic:cNvPicPr/>
                </pic:nvPicPr>
                <pic:blipFill rotWithShape="1">
                  <a:blip r:embed="rId1">
                    <a:extLst>
                      <a:ext uri="{28A0092B-C50C-407E-A947-70E740481C1C}">
                        <a14:useLocalDpi xmlns:a14="http://schemas.microsoft.com/office/drawing/2010/main" val="0"/>
                      </a:ext>
                    </a:extLst>
                  </a:blip>
                  <a:srcRect r="63189" b="18187"/>
                  <a:stretch>
                    <a:fillRect/>
                  </a:stretch>
                </pic:blipFill>
                <pic:spPr bwMode="auto">
                  <a:xfrm>
                    <a:off x="0" y="0"/>
                    <a:ext cx="1000314" cy="10429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54BE2">
      <w:rPr>
        <w:b/>
        <w:bCs/>
        <w:sz w:val="32"/>
        <w:szCs w:val="32"/>
      </w:rPr>
      <w:t>Journal of International Commercial Law and Technology</w:t>
    </w:r>
  </w:p>
  <w:p w14:paraId="6970B37F" w14:textId="2D5C3F81" w:rsidR="004F1589" w:rsidRDefault="004F1589" w:rsidP="00141C49">
    <w:pPr>
      <w:pStyle w:val="BodyText"/>
      <w:pBdr>
        <w:bottom w:val="single" w:sz="4" w:space="14" w:color="auto"/>
      </w:pBdr>
      <w:tabs>
        <w:tab w:val="left" w:pos="472"/>
        <w:tab w:val="left" w:pos="8684"/>
      </w:tabs>
      <w:rPr>
        <w:b/>
        <w:bCs/>
      </w:rPr>
    </w:pPr>
    <w:r w:rsidRPr="004F1589">
      <w:rPr>
        <w:b/>
        <w:bCs/>
      </w:rPr>
      <w:t xml:space="preserve">Print ISSN: </w:t>
    </w:r>
    <w:r w:rsidR="00454BE2" w:rsidRPr="00454BE2">
      <w:rPr>
        <w:rFonts w:ascii="Roboto" w:hAnsi="Roboto"/>
        <w:color w:val="000000"/>
        <w:shd w:val="clear" w:color="auto" w:fill="FFFFFF"/>
        <w:lang w:val="en-IN"/>
      </w:rPr>
      <w:t>1901-8401</w:t>
    </w:r>
  </w:p>
  <w:p w14:paraId="438EE295" w14:textId="77777777" w:rsidR="00454BE2" w:rsidRDefault="00454BE2" w:rsidP="00141C49">
    <w:pPr>
      <w:pStyle w:val="BodyText"/>
      <w:pBdr>
        <w:bottom w:val="single" w:sz="4" w:space="14" w:color="auto"/>
      </w:pBdr>
      <w:tabs>
        <w:tab w:val="left" w:pos="472"/>
        <w:tab w:val="left" w:pos="8684"/>
      </w:tabs>
      <w:rPr>
        <w:lang w:val="en-IN"/>
      </w:rPr>
    </w:pPr>
  </w:p>
  <w:p w14:paraId="66453992" w14:textId="40E24571" w:rsidR="00E6571A" w:rsidRPr="00141C49" w:rsidRDefault="00141C49" w:rsidP="00454BE2">
    <w:pPr>
      <w:pStyle w:val="BodyText"/>
      <w:pBdr>
        <w:bottom w:val="single" w:sz="4" w:space="14" w:color="auto"/>
      </w:pBdr>
      <w:tabs>
        <w:tab w:val="left" w:pos="472"/>
        <w:tab w:val="left" w:pos="8684"/>
      </w:tabs>
      <w:rPr>
        <w:lang w:val="en-IN"/>
      </w:rPr>
    </w:pPr>
    <w:r>
      <w:rPr>
        <w:lang w:val="en-IN"/>
      </w:rPr>
      <w:t>Website</w:t>
    </w:r>
    <w:r w:rsidRPr="00141C49">
      <w:rPr>
        <w:lang w:val="en-IN"/>
      </w:rPr>
      <w:t xml:space="preserve">: </w:t>
    </w:r>
    <w:bookmarkEnd w:id="12"/>
    <w:bookmarkEnd w:id="13"/>
    <w:bookmarkEnd w:id="14"/>
    <w:bookmarkEnd w:id="15"/>
    <w:bookmarkEnd w:id="16"/>
    <w:bookmarkEnd w:id="17"/>
    <w:bookmarkEnd w:id="18"/>
    <w:bookmarkEnd w:id="19"/>
    <w:bookmarkEnd w:id="20"/>
    <w:bookmarkEnd w:id="21"/>
    <w:r w:rsidR="00454BE2">
      <w:rPr>
        <w:lang w:val="en-IN"/>
      </w:rPr>
      <w:fldChar w:fldCharType="begin"/>
    </w:r>
    <w:r w:rsidR="00454BE2">
      <w:rPr>
        <w:lang w:val="en-IN"/>
      </w:rPr>
      <w:instrText>HYPERLINK "</w:instrText>
    </w:r>
    <w:r w:rsidR="00454BE2" w:rsidRPr="00454BE2">
      <w:rPr>
        <w:lang w:val="en-IN"/>
      </w:rPr>
      <w:instrText>https://www.jiclt.com/</w:instrText>
    </w:r>
    <w:r w:rsidR="00454BE2">
      <w:rPr>
        <w:lang w:val="en-IN"/>
      </w:rPr>
      <w:instrText>"</w:instrText>
    </w:r>
    <w:r w:rsidR="00454BE2">
      <w:rPr>
        <w:lang w:val="en-IN"/>
      </w:rPr>
    </w:r>
    <w:r w:rsidR="00454BE2">
      <w:rPr>
        <w:lang w:val="en-IN"/>
      </w:rPr>
      <w:fldChar w:fldCharType="separate"/>
    </w:r>
    <w:r w:rsidR="00454BE2" w:rsidRPr="00AB059F">
      <w:rPr>
        <w:rStyle w:val="Hyperlink"/>
        <w:lang w:val="en-IN"/>
      </w:rPr>
      <w:t>https://www.jiclt.com/</w:t>
    </w:r>
    <w:r w:rsidR="00454BE2">
      <w:rPr>
        <w:lang w:val="en-IN"/>
      </w:rPr>
      <w:fldChar w:fldCharType="end"/>
    </w:r>
    <w:r w:rsidR="00454BE2">
      <w:rPr>
        <w:lang w:val="en-I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B54C2"/>
    <w:multiLevelType w:val="hybridMultilevel"/>
    <w:tmpl w:val="66A407AC"/>
    <w:lvl w:ilvl="0" w:tplc="8CC85DBE">
      <w:start w:val="1"/>
      <w:numFmt w:val="decimal"/>
      <w:lvlText w:val="%1."/>
      <w:lvlJc w:val="left"/>
      <w:pPr>
        <w:ind w:left="536" w:hanging="428"/>
      </w:pPr>
      <w:rPr>
        <w:rFonts w:ascii="Times New Roman" w:eastAsia="Times New Roman" w:hAnsi="Times New Roman" w:cs="Times New Roman" w:hint="default"/>
        <w:w w:val="100"/>
        <w:sz w:val="20"/>
        <w:szCs w:val="20"/>
        <w:lang w:val="en-US" w:eastAsia="en-US" w:bidi="ar-SA"/>
      </w:rPr>
    </w:lvl>
    <w:lvl w:ilvl="1" w:tplc="BF56B720">
      <w:numFmt w:val="bullet"/>
      <w:lvlText w:val="•"/>
      <w:lvlJc w:val="left"/>
      <w:pPr>
        <w:ind w:left="1476" w:hanging="428"/>
      </w:pPr>
      <w:rPr>
        <w:rFonts w:hint="default"/>
        <w:lang w:val="en-US" w:eastAsia="en-US" w:bidi="ar-SA"/>
      </w:rPr>
    </w:lvl>
    <w:lvl w:ilvl="2" w:tplc="B4E07EC8">
      <w:numFmt w:val="bullet"/>
      <w:lvlText w:val="•"/>
      <w:lvlJc w:val="left"/>
      <w:pPr>
        <w:ind w:left="2413" w:hanging="428"/>
      </w:pPr>
      <w:rPr>
        <w:rFonts w:hint="default"/>
        <w:lang w:val="en-US" w:eastAsia="en-US" w:bidi="ar-SA"/>
      </w:rPr>
    </w:lvl>
    <w:lvl w:ilvl="3" w:tplc="5574C7D6">
      <w:numFmt w:val="bullet"/>
      <w:lvlText w:val="•"/>
      <w:lvlJc w:val="left"/>
      <w:pPr>
        <w:ind w:left="3349" w:hanging="428"/>
      </w:pPr>
      <w:rPr>
        <w:rFonts w:hint="default"/>
        <w:lang w:val="en-US" w:eastAsia="en-US" w:bidi="ar-SA"/>
      </w:rPr>
    </w:lvl>
    <w:lvl w:ilvl="4" w:tplc="EEF4BB8A">
      <w:numFmt w:val="bullet"/>
      <w:lvlText w:val="•"/>
      <w:lvlJc w:val="left"/>
      <w:pPr>
        <w:ind w:left="4286" w:hanging="428"/>
      </w:pPr>
      <w:rPr>
        <w:rFonts w:hint="default"/>
        <w:lang w:val="en-US" w:eastAsia="en-US" w:bidi="ar-SA"/>
      </w:rPr>
    </w:lvl>
    <w:lvl w:ilvl="5" w:tplc="21ECA8E6">
      <w:numFmt w:val="bullet"/>
      <w:lvlText w:val="•"/>
      <w:lvlJc w:val="left"/>
      <w:pPr>
        <w:ind w:left="5223" w:hanging="428"/>
      </w:pPr>
      <w:rPr>
        <w:rFonts w:hint="default"/>
        <w:lang w:val="en-US" w:eastAsia="en-US" w:bidi="ar-SA"/>
      </w:rPr>
    </w:lvl>
    <w:lvl w:ilvl="6" w:tplc="1CF8A6E8">
      <w:numFmt w:val="bullet"/>
      <w:lvlText w:val="•"/>
      <w:lvlJc w:val="left"/>
      <w:pPr>
        <w:ind w:left="6159" w:hanging="428"/>
      </w:pPr>
      <w:rPr>
        <w:rFonts w:hint="default"/>
        <w:lang w:val="en-US" w:eastAsia="en-US" w:bidi="ar-SA"/>
      </w:rPr>
    </w:lvl>
    <w:lvl w:ilvl="7" w:tplc="7E120330">
      <w:numFmt w:val="bullet"/>
      <w:lvlText w:val="•"/>
      <w:lvlJc w:val="left"/>
      <w:pPr>
        <w:ind w:left="7096" w:hanging="428"/>
      </w:pPr>
      <w:rPr>
        <w:rFonts w:hint="default"/>
        <w:lang w:val="en-US" w:eastAsia="en-US" w:bidi="ar-SA"/>
      </w:rPr>
    </w:lvl>
    <w:lvl w:ilvl="8" w:tplc="B204E1C4">
      <w:numFmt w:val="bullet"/>
      <w:lvlText w:val="•"/>
      <w:lvlJc w:val="left"/>
      <w:pPr>
        <w:ind w:left="8033" w:hanging="428"/>
      </w:pPr>
      <w:rPr>
        <w:rFonts w:hint="default"/>
        <w:lang w:val="en-US" w:eastAsia="en-US" w:bidi="ar-SA"/>
      </w:rPr>
    </w:lvl>
  </w:abstractNum>
  <w:abstractNum w:abstractNumId="1" w15:restartNumberingAfterBreak="0">
    <w:nsid w:val="25CD7408"/>
    <w:multiLevelType w:val="hybridMultilevel"/>
    <w:tmpl w:val="1D7CA3C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50C46A1"/>
    <w:multiLevelType w:val="hybridMultilevel"/>
    <w:tmpl w:val="8E2A498A"/>
    <w:lvl w:ilvl="0" w:tplc="0A28FEFA">
      <w:start w:val="2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A9D4B42"/>
    <w:multiLevelType w:val="hybridMultilevel"/>
    <w:tmpl w:val="DD06C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5D28AE"/>
    <w:multiLevelType w:val="hybridMultilevel"/>
    <w:tmpl w:val="CD560232"/>
    <w:lvl w:ilvl="0" w:tplc="40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0553960"/>
    <w:multiLevelType w:val="hybridMultilevel"/>
    <w:tmpl w:val="7758E44C"/>
    <w:lvl w:ilvl="0" w:tplc="40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5C143CF"/>
    <w:multiLevelType w:val="hybridMultilevel"/>
    <w:tmpl w:val="2B7203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D0A3C1C"/>
    <w:multiLevelType w:val="hybridMultilevel"/>
    <w:tmpl w:val="880E293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0F624B9"/>
    <w:multiLevelType w:val="hybridMultilevel"/>
    <w:tmpl w:val="26C245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57C15CDF"/>
    <w:multiLevelType w:val="hybridMultilevel"/>
    <w:tmpl w:val="4DD8ED8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5C0B530C"/>
    <w:multiLevelType w:val="multilevel"/>
    <w:tmpl w:val="6A583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9E6E0B"/>
    <w:multiLevelType w:val="hybridMultilevel"/>
    <w:tmpl w:val="B8DEC4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5DDA35F9"/>
    <w:multiLevelType w:val="multilevel"/>
    <w:tmpl w:val="81E6D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376FB9"/>
    <w:multiLevelType w:val="hybridMultilevel"/>
    <w:tmpl w:val="D75EEDC4"/>
    <w:lvl w:ilvl="0" w:tplc="7DF6C19A">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6B8C2C34"/>
    <w:multiLevelType w:val="hybridMultilevel"/>
    <w:tmpl w:val="17764B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6BF01DE2"/>
    <w:multiLevelType w:val="hybridMultilevel"/>
    <w:tmpl w:val="6BB0B224"/>
    <w:lvl w:ilvl="0" w:tplc="0A28FEFA">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5006258">
    <w:abstractNumId w:val="0"/>
  </w:num>
  <w:num w:numId="2" w16cid:durableId="436752864">
    <w:abstractNumId w:val="3"/>
  </w:num>
  <w:num w:numId="3" w16cid:durableId="793720576">
    <w:abstractNumId w:val="6"/>
  </w:num>
  <w:num w:numId="4" w16cid:durableId="1023358111">
    <w:abstractNumId w:val="15"/>
  </w:num>
  <w:num w:numId="5" w16cid:durableId="1192911072">
    <w:abstractNumId w:val="2"/>
  </w:num>
  <w:num w:numId="6" w16cid:durableId="1431972785">
    <w:abstractNumId w:val="4"/>
  </w:num>
  <w:num w:numId="7" w16cid:durableId="1608729552">
    <w:abstractNumId w:val="5"/>
  </w:num>
  <w:num w:numId="8" w16cid:durableId="2106874374">
    <w:abstractNumId w:val="10"/>
  </w:num>
  <w:num w:numId="9" w16cid:durableId="706873966">
    <w:abstractNumId w:val="7"/>
  </w:num>
  <w:num w:numId="10" w16cid:durableId="50662060">
    <w:abstractNumId w:val="1"/>
  </w:num>
  <w:num w:numId="11" w16cid:durableId="1307514045">
    <w:abstractNumId w:val="9"/>
  </w:num>
  <w:num w:numId="12" w16cid:durableId="547834776">
    <w:abstractNumId w:val="11"/>
  </w:num>
  <w:num w:numId="13" w16cid:durableId="439762729">
    <w:abstractNumId w:val="13"/>
  </w:num>
  <w:num w:numId="14" w16cid:durableId="394016887">
    <w:abstractNumId w:val="14"/>
  </w:num>
  <w:num w:numId="15" w16cid:durableId="1257597173">
    <w:abstractNumId w:val="8"/>
  </w:num>
  <w:num w:numId="16" w16cid:durableId="14811908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5FF"/>
    <w:rsid w:val="00072D4C"/>
    <w:rsid w:val="00097CD6"/>
    <w:rsid w:val="000D7EFB"/>
    <w:rsid w:val="001100F8"/>
    <w:rsid w:val="001246FF"/>
    <w:rsid w:val="0013039F"/>
    <w:rsid w:val="00141C49"/>
    <w:rsid w:val="00142593"/>
    <w:rsid w:val="001A4F70"/>
    <w:rsid w:val="00266707"/>
    <w:rsid w:val="00325CF9"/>
    <w:rsid w:val="00333D62"/>
    <w:rsid w:val="00334908"/>
    <w:rsid w:val="003525FF"/>
    <w:rsid w:val="00374738"/>
    <w:rsid w:val="003908E7"/>
    <w:rsid w:val="00397C3A"/>
    <w:rsid w:val="003A7772"/>
    <w:rsid w:val="004328BA"/>
    <w:rsid w:val="0044423C"/>
    <w:rsid w:val="00454BE2"/>
    <w:rsid w:val="004F1589"/>
    <w:rsid w:val="005F4A90"/>
    <w:rsid w:val="00613B06"/>
    <w:rsid w:val="006C725E"/>
    <w:rsid w:val="006D4FF2"/>
    <w:rsid w:val="007072A4"/>
    <w:rsid w:val="007213CC"/>
    <w:rsid w:val="00737820"/>
    <w:rsid w:val="00757327"/>
    <w:rsid w:val="007E1D63"/>
    <w:rsid w:val="008B3A41"/>
    <w:rsid w:val="008D7153"/>
    <w:rsid w:val="00943912"/>
    <w:rsid w:val="00954E31"/>
    <w:rsid w:val="009963ED"/>
    <w:rsid w:val="00A2678F"/>
    <w:rsid w:val="00A35323"/>
    <w:rsid w:val="00A6157F"/>
    <w:rsid w:val="00A61BEB"/>
    <w:rsid w:val="00A927BD"/>
    <w:rsid w:val="00A92B5B"/>
    <w:rsid w:val="00AB0F48"/>
    <w:rsid w:val="00AB449A"/>
    <w:rsid w:val="00AB562B"/>
    <w:rsid w:val="00AD1BD5"/>
    <w:rsid w:val="00B0658B"/>
    <w:rsid w:val="00B72C22"/>
    <w:rsid w:val="00C06321"/>
    <w:rsid w:val="00C24A45"/>
    <w:rsid w:val="00C45BE0"/>
    <w:rsid w:val="00C717A9"/>
    <w:rsid w:val="00C84C67"/>
    <w:rsid w:val="00C936B2"/>
    <w:rsid w:val="00CC20A1"/>
    <w:rsid w:val="00D0011F"/>
    <w:rsid w:val="00D31C6D"/>
    <w:rsid w:val="00D61627"/>
    <w:rsid w:val="00D84866"/>
    <w:rsid w:val="00DB4FCD"/>
    <w:rsid w:val="00DF4761"/>
    <w:rsid w:val="00E02E89"/>
    <w:rsid w:val="00E20EA7"/>
    <w:rsid w:val="00E449A0"/>
    <w:rsid w:val="00E6571A"/>
    <w:rsid w:val="00EC664D"/>
    <w:rsid w:val="00F6790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1C197"/>
  <w15:docId w15:val="{59AA01DB-9CB3-4896-9C6B-F239E5B15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8"/>
      <w:outlineLvl w:val="0"/>
    </w:pPr>
    <w:rPr>
      <w:b/>
      <w:bCs/>
      <w:sz w:val="24"/>
      <w:szCs w:val="24"/>
    </w:rPr>
  </w:style>
  <w:style w:type="paragraph" w:styleId="Heading2">
    <w:name w:val="heading 2"/>
    <w:basedOn w:val="Normal"/>
    <w:next w:val="Normal"/>
    <w:link w:val="Heading2Char"/>
    <w:uiPriority w:val="9"/>
    <w:semiHidden/>
    <w:unhideWhenUsed/>
    <w:qFormat/>
    <w:rsid w:val="00A3532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9"/>
      <w:ind w:left="347" w:right="366"/>
      <w:jc w:val="center"/>
    </w:pPr>
    <w:rPr>
      <w:b/>
      <w:bCs/>
      <w:sz w:val="32"/>
      <w:szCs w:val="32"/>
    </w:rPr>
  </w:style>
  <w:style w:type="paragraph" w:styleId="ListParagraph">
    <w:name w:val="List Paragraph"/>
    <w:basedOn w:val="Normal"/>
    <w:uiPriority w:val="34"/>
    <w:qFormat/>
    <w:pPr>
      <w:ind w:left="536" w:hanging="428"/>
      <w:jc w:val="both"/>
    </w:pPr>
  </w:style>
  <w:style w:type="paragraph" w:customStyle="1" w:styleId="TableParagraph">
    <w:name w:val="Table Paragraph"/>
    <w:basedOn w:val="Normal"/>
    <w:uiPriority w:val="1"/>
    <w:qFormat/>
    <w:pPr>
      <w:spacing w:line="234" w:lineRule="exact"/>
      <w:ind w:left="107"/>
      <w:jc w:val="center"/>
    </w:pPr>
  </w:style>
  <w:style w:type="paragraph" w:styleId="Header">
    <w:name w:val="header"/>
    <w:basedOn w:val="Normal"/>
    <w:link w:val="HeaderChar"/>
    <w:uiPriority w:val="99"/>
    <w:unhideWhenUsed/>
    <w:rsid w:val="00142593"/>
    <w:pPr>
      <w:tabs>
        <w:tab w:val="center" w:pos="4513"/>
        <w:tab w:val="right" w:pos="9026"/>
      </w:tabs>
    </w:pPr>
  </w:style>
  <w:style w:type="character" w:customStyle="1" w:styleId="HeaderChar">
    <w:name w:val="Header Char"/>
    <w:basedOn w:val="DefaultParagraphFont"/>
    <w:link w:val="Header"/>
    <w:uiPriority w:val="99"/>
    <w:rsid w:val="00142593"/>
    <w:rPr>
      <w:rFonts w:ascii="Times New Roman" w:eastAsia="Times New Roman" w:hAnsi="Times New Roman" w:cs="Times New Roman"/>
    </w:rPr>
  </w:style>
  <w:style w:type="paragraph" w:styleId="Footer">
    <w:name w:val="footer"/>
    <w:basedOn w:val="Normal"/>
    <w:link w:val="FooterChar"/>
    <w:uiPriority w:val="99"/>
    <w:unhideWhenUsed/>
    <w:rsid w:val="00142593"/>
    <w:pPr>
      <w:tabs>
        <w:tab w:val="center" w:pos="4513"/>
        <w:tab w:val="right" w:pos="9026"/>
      </w:tabs>
    </w:pPr>
  </w:style>
  <w:style w:type="character" w:customStyle="1" w:styleId="FooterChar">
    <w:name w:val="Footer Char"/>
    <w:basedOn w:val="DefaultParagraphFont"/>
    <w:link w:val="Footer"/>
    <w:uiPriority w:val="99"/>
    <w:rsid w:val="00142593"/>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A35323"/>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141C49"/>
    <w:rPr>
      <w:color w:val="0000FF" w:themeColor="hyperlink"/>
      <w:u w:val="single"/>
    </w:rPr>
  </w:style>
  <w:style w:type="character" w:styleId="UnresolvedMention">
    <w:name w:val="Unresolved Mention"/>
    <w:basedOn w:val="DefaultParagraphFont"/>
    <w:uiPriority w:val="99"/>
    <w:semiHidden/>
    <w:unhideWhenUsed/>
    <w:rsid w:val="00141C49"/>
    <w:rPr>
      <w:color w:val="605E5C"/>
      <w:shd w:val="clear" w:color="auto" w:fill="E1DFDD"/>
    </w:rPr>
  </w:style>
  <w:style w:type="table" w:styleId="TableGrid">
    <w:name w:val="Table Grid"/>
    <w:basedOn w:val="TableNormal"/>
    <w:uiPriority w:val="59"/>
    <w:rsid w:val="00141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E449A0"/>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449A0"/>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449A0"/>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3">
    <w:name w:val="Grid Table 3"/>
    <w:basedOn w:val="TableNormal"/>
    <w:uiPriority w:val="48"/>
    <w:rsid w:val="00E449A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449A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449A0"/>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449A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5Dark">
    <w:name w:val="Grid Table 5 Dark"/>
    <w:basedOn w:val="TableNormal"/>
    <w:uiPriority w:val="50"/>
    <w:rsid w:val="00E449A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449A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449A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4">
    <w:name w:val="Grid Table 5 Dark Accent 4"/>
    <w:basedOn w:val="TableNormal"/>
    <w:uiPriority w:val="50"/>
    <w:rsid w:val="00E449A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6">
    <w:name w:val="Grid Table 5 Dark Accent 6"/>
    <w:basedOn w:val="TableNormal"/>
    <w:uiPriority w:val="50"/>
    <w:rsid w:val="00E449A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7Colorful">
    <w:name w:val="Grid Table 7 Colorful"/>
    <w:basedOn w:val="TableNormal"/>
    <w:uiPriority w:val="52"/>
    <w:rsid w:val="00E449A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2-Accent5">
    <w:name w:val="List Table 2 Accent 5"/>
    <w:basedOn w:val="TableNormal"/>
    <w:uiPriority w:val="47"/>
    <w:rsid w:val="00E449A0"/>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7Colorful-Accent2">
    <w:name w:val="List Table 7 Colorful Accent 2"/>
    <w:basedOn w:val="TableNormal"/>
    <w:uiPriority w:val="52"/>
    <w:rsid w:val="004F1589"/>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F1589"/>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D7153"/>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38637">
      <w:bodyDiv w:val="1"/>
      <w:marLeft w:val="0"/>
      <w:marRight w:val="0"/>
      <w:marTop w:val="0"/>
      <w:marBottom w:val="0"/>
      <w:divBdr>
        <w:top w:val="none" w:sz="0" w:space="0" w:color="auto"/>
        <w:left w:val="none" w:sz="0" w:space="0" w:color="auto"/>
        <w:bottom w:val="none" w:sz="0" w:space="0" w:color="auto"/>
        <w:right w:val="none" w:sz="0" w:space="0" w:color="auto"/>
      </w:divBdr>
    </w:div>
    <w:div w:id="431172788">
      <w:bodyDiv w:val="1"/>
      <w:marLeft w:val="0"/>
      <w:marRight w:val="0"/>
      <w:marTop w:val="0"/>
      <w:marBottom w:val="0"/>
      <w:divBdr>
        <w:top w:val="none" w:sz="0" w:space="0" w:color="auto"/>
        <w:left w:val="none" w:sz="0" w:space="0" w:color="auto"/>
        <w:bottom w:val="none" w:sz="0" w:space="0" w:color="auto"/>
        <w:right w:val="none" w:sz="0" w:space="0" w:color="auto"/>
      </w:divBdr>
      <w:divsChild>
        <w:div w:id="566114092">
          <w:marLeft w:val="0"/>
          <w:marRight w:val="0"/>
          <w:marTop w:val="0"/>
          <w:marBottom w:val="0"/>
          <w:divBdr>
            <w:top w:val="single" w:sz="2" w:space="0" w:color="E5E7EB"/>
            <w:left w:val="single" w:sz="2" w:space="0" w:color="E5E7EB"/>
            <w:bottom w:val="single" w:sz="2" w:space="0" w:color="E5E7EB"/>
            <w:right w:val="single" w:sz="2" w:space="0" w:color="E5E7EB"/>
          </w:divBdr>
        </w:div>
        <w:div w:id="655768079">
          <w:marLeft w:val="0"/>
          <w:marRight w:val="0"/>
          <w:marTop w:val="0"/>
          <w:marBottom w:val="0"/>
          <w:divBdr>
            <w:top w:val="single" w:sz="2" w:space="0" w:color="E5E7EB"/>
            <w:left w:val="single" w:sz="2" w:space="0" w:color="E5E7EB"/>
            <w:bottom w:val="single" w:sz="2" w:space="0" w:color="E5E7EB"/>
            <w:right w:val="single" w:sz="2" w:space="0" w:color="E5E7EB"/>
          </w:divBdr>
        </w:div>
        <w:div w:id="16485888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75483557">
      <w:bodyDiv w:val="1"/>
      <w:marLeft w:val="0"/>
      <w:marRight w:val="0"/>
      <w:marTop w:val="0"/>
      <w:marBottom w:val="0"/>
      <w:divBdr>
        <w:top w:val="none" w:sz="0" w:space="0" w:color="auto"/>
        <w:left w:val="none" w:sz="0" w:space="0" w:color="auto"/>
        <w:bottom w:val="none" w:sz="0" w:space="0" w:color="auto"/>
        <w:right w:val="none" w:sz="0" w:space="0" w:color="auto"/>
      </w:divBdr>
    </w:div>
    <w:div w:id="1096949056">
      <w:bodyDiv w:val="1"/>
      <w:marLeft w:val="0"/>
      <w:marRight w:val="0"/>
      <w:marTop w:val="0"/>
      <w:marBottom w:val="0"/>
      <w:divBdr>
        <w:top w:val="none" w:sz="0" w:space="0" w:color="auto"/>
        <w:left w:val="none" w:sz="0" w:space="0" w:color="auto"/>
        <w:bottom w:val="none" w:sz="0" w:space="0" w:color="auto"/>
        <w:right w:val="none" w:sz="0" w:space="0" w:color="auto"/>
      </w:divBdr>
      <w:divsChild>
        <w:div w:id="348946067">
          <w:marLeft w:val="0"/>
          <w:marRight w:val="0"/>
          <w:marTop w:val="0"/>
          <w:marBottom w:val="0"/>
          <w:divBdr>
            <w:top w:val="single" w:sz="2" w:space="0" w:color="E5E7EB"/>
            <w:left w:val="single" w:sz="2" w:space="0" w:color="E5E7EB"/>
            <w:bottom w:val="single" w:sz="2" w:space="0" w:color="E5E7EB"/>
            <w:right w:val="single" w:sz="2" w:space="0" w:color="E5E7EB"/>
          </w:divBdr>
        </w:div>
        <w:div w:id="1943410334">
          <w:marLeft w:val="0"/>
          <w:marRight w:val="0"/>
          <w:marTop w:val="0"/>
          <w:marBottom w:val="0"/>
          <w:divBdr>
            <w:top w:val="single" w:sz="2" w:space="0" w:color="E5E7EB"/>
            <w:left w:val="single" w:sz="2" w:space="0" w:color="E5E7EB"/>
            <w:bottom w:val="single" w:sz="2" w:space="0" w:color="E5E7EB"/>
            <w:right w:val="single" w:sz="2" w:space="0" w:color="E5E7EB"/>
          </w:divBdr>
        </w:div>
        <w:div w:id="8576197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7310798">
      <w:bodyDiv w:val="1"/>
      <w:marLeft w:val="0"/>
      <w:marRight w:val="0"/>
      <w:marTop w:val="0"/>
      <w:marBottom w:val="0"/>
      <w:divBdr>
        <w:top w:val="none" w:sz="0" w:space="0" w:color="auto"/>
        <w:left w:val="none" w:sz="0" w:space="0" w:color="auto"/>
        <w:bottom w:val="none" w:sz="0" w:space="0" w:color="auto"/>
        <w:right w:val="none" w:sz="0" w:space="0" w:color="auto"/>
      </w:divBdr>
    </w:div>
    <w:div w:id="1276332908">
      <w:bodyDiv w:val="1"/>
      <w:marLeft w:val="0"/>
      <w:marRight w:val="0"/>
      <w:marTop w:val="0"/>
      <w:marBottom w:val="0"/>
      <w:divBdr>
        <w:top w:val="none" w:sz="0" w:space="0" w:color="auto"/>
        <w:left w:val="none" w:sz="0" w:space="0" w:color="auto"/>
        <w:bottom w:val="none" w:sz="0" w:space="0" w:color="auto"/>
        <w:right w:val="none" w:sz="0" w:space="0" w:color="auto"/>
      </w:divBdr>
    </w:div>
    <w:div w:id="1406607855">
      <w:bodyDiv w:val="1"/>
      <w:marLeft w:val="0"/>
      <w:marRight w:val="0"/>
      <w:marTop w:val="0"/>
      <w:marBottom w:val="0"/>
      <w:divBdr>
        <w:top w:val="none" w:sz="0" w:space="0" w:color="auto"/>
        <w:left w:val="none" w:sz="0" w:space="0" w:color="auto"/>
        <w:bottom w:val="none" w:sz="0" w:space="0" w:color="auto"/>
        <w:right w:val="none" w:sz="0" w:space="0" w:color="auto"/>
      </w:divBdr>
    </w:div>
    <w:div w:id="15099781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4191/mar.v23i3.233" TargetMode="External"/><Relationship Id="rId18" Type="http://schemas.openxmlformats.org/officeDocument/2006/relationships/hyperlink" Target="https://doi.org/10.52783/eel.v15i2.3115" TargetMode="External"/><Relationship Id="rId26" Type="http://schemas.openxmlformats.org/officeDocument/2006/relationships/hyperlink" Target="https://doi.org/10.1057/s41267-023-00601-9" TargetMode="External"/><Relationship Id="rId39" Type="http://schemas.openxmlformats.org/officeDocument/2006/relationships/theme" Target="theme/theme1.xml"/><Relationship Id="rId21" Type="http://schemas.openxmlformats.org/officeDocument/2006/relationships/hyperlink" Target="https://helda.helsinki.fi/bof/handle/123456789/xxxxx" TargetMode="External"/><Relationship Id="rId34" Type="http://schemas.openxmlformats.org/officeDocument/2006/relationships/hyperlink" Target="https://doi.org/10.1007/978-3-031-XXXX-X_2" TargetMode="External"/><Relationship Id="rId7" Type="http://schemas.openxmlformats.org/officeDocument/2006/relationships/hyperlink" Target="mailto:ecoabhimanyugupta@gmail.com" TargetMode="External"/><Relationship Id="rId12" Type="http://schemas.openxmlformats.org/officeDocument/2006/relationships/image" Target="media/image2.JPG"/><Relationship Id="rId17" Type="http://schemas.openxmlformats.org/officeDocument/2006/relationships/hyperlink" Target="https://doi.org/10.1016/j.eneco.2022.106028" TargetMode="External"/><Relationship Id="rId25" Type="http://schemas.openxmlformats.org/officeDocument/2006/relationships/hyperlink" Target="https://doi.org/10.1177/09721509231123456" TargetMode="External"/><Relationship Id="rId33" Type="http://schemas.openxmlformats.org/officeDocument/2006/relationships/hyperlink" Target="https://doi.org/10.5281/zenodo.1234567"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16/j.resourpol.2021.102056" TargetMode="External"/><Relationship Id="rId20" Type="http://schemas.openxmlformats.org/officeDocument/2006/relationships/hyperlink" Target="https://doi.org/10.1257/app.20220617" TargetMode="External"/><Relationship Id="rId29" Type="http://schemas.openxmlformats.org/officeDocument/2006/relationships/hyperlink" Target="https://doi.org/10.1111/twec.134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doi.org/10.1111/twec.13309" TargetMode="External"/><Relationship Id="rId32" Type="http://schemas.openxmlformats.org/officeDocument/2006/relationships/hyperlink" Target="https://doi.org/10.32996/ijor.2024.5.2.14" TargetMode="External"/><Relationship Id="rId37" Type="http://schemas.openxmlformats.org/officeDocument/2006/relationships/hyperlink" Target="https://www.wto.org/english/res_e/reser_e/wtr2023_e.htm" TargetMode="External"/><Relationship Id="rId5" Type="http://schemas.openxmlformats.org/officeDocument/2006/relationships/footnotes" Target="footnotes.xml"/><Relationship Id="rId15" Type="http://schemas.openxmlformats.org/officeDocument/2006/relationships/hyperlink" Target="https://kluwerlawonline.com/journal/jwt/59/3" TargetMode="External"/><Relationship Id="rId23" Type="http://schemas.openxmlformats.org/officeDocument/2006/relationships/hyperlink" Target="https://doi.org/10.1016/j.pacfin.2021.101621" TargetMode="External"/><Relationship Id="rId28" Type="http://schemas.openxmlformats.org/officeDocument/2006/relationships/hyperlink" Target="https://doi.org/10.1080/09638199.2021.1894567" TargetMode="External"/><Relationship Id="rId36" Type="http://schemas.openxmlformats.org/officeDocument/2006/relationships/hyperlink" Target="https://doi.org/10.1016/j.irfa.2021.101705" TargetMode="External"/><Relationship Id="rId10" Type="http://schemas.openxmlformats.org/officeDocument/2006/relationships/header" Target="header2.xml"/><Relationship Id="rId19" Type="http://schemas.openxmlformats.org/officeDocument/2006/relationships/hyperlink" Target="https://doi.org/10.1177/ijes.2022.0039" TargetMode="External"/><Relationship Id="rId31" Type="http://schemas.openxmlformats.org/officeDocument/2006/relationships/hyperlink" Target="https://doi.org/10.36713/epra12345"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i.org/10.1080/09537287.2025.1234567" TargetMode="External"/><Relationship Id="rId22" Type="http://schemas.openxmlformats.org/officeDocument/2006/relationships/hyperlink" Target="https://doi.org/10.23917/jep.v24i1.12345" TargetMode="External"/><Relationship Id="rId27" Type="http://schemas.openxmlformats.org/officeDocument/2006/relationships/hyperlink" Target="https://doi.org/10.1002/cb.2193" TargetMode="External"/><Relationship Id="rId30" Type="http://schemas.openxmlformats.org/officeDocument/2006/relationships/hyperlink" Target="https://doi.org/10.1111/iere.12638" TargetMode="External"/><Relationship Id="rId35" Type="http://schemas.openxmlformats.org/officeDocument/2006/relationships/hyperlink" Target="https://doi.org/10.32479/ijefi.14321" TargetMode="External"/><Relationship Id="rId8" Type="http://schemas.openxmlformats.org/officeDocument/2006/relationships/header" Target="header1.xm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9</Pages>
  <Words>5105</Words>
  <Characters>29100</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sushma bj</dc:creator>
  <cp:lastModifiedBy>shivanand rajbhar</cp:lastModifiedBy>
  <cp:revision>16</cp:revision>
  <dcterms:created xsi:type="dcterms:W3CDTF">2025-11-01T01:48:00Z</dcterms:created>
  <dcterms:modified xsi:type="dcterms:W3CDTF">2025-11-01T03:24:00Z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2024-06-29T00:00:00Z</vt:filetime>
  </property>
  <property fmtid="{D5CDD505-2E9C-101B-9397-08002B2CF9AE}" pid="3" name="Creator">
    <vt:lpwstr>Microsoft® Word 2021</vt:lpwstr>
  </property>
  <property fmtid="{D5CDD505-2E9C-101B-9397-08002B2CF9AE}" pid="4" name="LastSaved">
    <vt:filetime>2024-07-18T00:00:00Z</vt:filetime>
  </property>
</Properties>
</file>